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79DB" w14:textId="34D23C06" w:rsidR="000C3D71" w:rsidRPr="00335D61" w:rsidRDefault="007629CF" w:rsidP="00037F06">
      <w:pPr>
        <w:pStyle w:val="Title"/>
        <w:rPr>
          <w:rFonts w:asciiTheme="minorHAnsi" w:hAnsiTheme="minorHAnsi"/>
          <w:color w:val="auto"/>
          <w:sz w:val="22"/>
          <w:szCs w:val="22"/>
        </w:rPr>
      </w:pPr>
      <w:r>
        <w:rPr>
          <w:rFonts w:asciiTheme="minorHAnsi" w:hAnsiTheme="minorHAnsi"/>
          <w:b/>
          <w:sz w:val="40"/>
          <w:szCs w:val="40"/>
        </w:rPr>
        <w:t>R</w:t>
      </w:r>
      <w:r w:rsidR="008C0817">
        <w:rPr>
          <w:rFonts w:asciiTheme="minorHAnsi" w:hAnsiTheme="minorHAnsi"/>
          <w:b/>
          <w:sz w:val="40"/>
          <w:szCs w:val="40"/>
        </w:rPr>
        <w:t xml:space="preserve">egistered </w:t>
      </w:r>
      <w:r>
        <w:rPr>
          <w:rFonts w:asciiTheme="minorHAnsi" w:hAnsiTheme="minorHAnsi"/>
          <w:b/>
          <w:sz w:val="40"/>
          <w:szCs w:val="40"/>
        </w:rPr>
        <w:t>T</w:t>
      </w:r>
      <w:r w:rsidR="008C0817">
        <w:rPr>
          <w:rFonts w:asciiTheme="minorHAnsi" w:hAnsiTheme="minorHAnsi"/>
          <w:b/>
          <w:sz w:val="40"/>
          <w:szCs w:val="40"/>
        </w:rPr>
        <w:t xml:space="preserve">raining </w:t>
      </w:r>
      <w:r>
        <w:rPr>
          <w:rFonts w:asciiTheme="minorHAnsi" w:hAnsiTheme="minorHAnsi"/>
          <w:b/>
          <w:sz w:val="40"/>
          <w:szCs w:val="40"/>
        </w:rPr>
        <w:t>O</w:t>
      </w:r>
      <w:r w:rsidR="008C0817">
        <w:rPr>
          <w:rFonts w:asciiTheme="minorHAnsi" w:hAnsiTheme="minorHAnsi"/>
          <w:b/>
          <w:sz w:val="40"/>
          <w:szCs w:val="40"/>
        </w:rPr>
        <w:t>rganisation (RTO)</w:t>
      </w:r>
      <w:r>
        <w:rPr>
          <w:rFonts w:asciiTheme="minorHAnsi" w:hAnsiTheme="minorHAnsi"/>
          <w:b/>
          <w:sz w:val="40"/>
          <w:szCs w:val="40"/>
        </w:rPr>
        <w:t xml:space="preserve"> </w:t>
      </w:r>
      <w:r w:rsidR="00AC5758">
        <w:rPr>
          <w:rFonts w:asciiTheme="minorHAnsi" w:hAnsiTheme="minorHAnsi"/>
          <w:b/>
          <w:sz w:val="40"/>
          <w:szCs w:val="40"/>
        </w:rPr>
        <w:t>Compliance</w:t>
      </w:r>
      <w:r w:rsidR="00CF421A">
        <w:rPr>
          <w:rFonts w:asciiTheme="minorHAnsi" w:hAnsiTheme="minorHAnsi"/>
          <w:b/>
          <w:sz w:val="40"/>
          <w:szCs w:val="40"/>
        </w:rPr>
        <w:t xml:space="preserve"> </w:t>
      </w:r>
      <w:r w:rsidR="00145477">
        <w:rPr>
          <w:rFonts w:asciiTheme="minorHAnsi" w:hAnsiTheme="minorHAnsi"/>
          <w:b/>
          <w:sz w:val="40"/>
          <w:szCs w:val="40"/>
        </w:rPr>
        <w:t>Procedures</w:t>
      </w:r>
      <w:r w:rsidR="00BB4166">
        <w:rPr>
          <w:rFonts w:asciiTheme="minorHAnsi" w:hAnsiTheme="minorHAnsi"/>
          <w:b/>
          <w:sz w:val="40"/>
          <w:szCs w:val="40"/>
        </w:rPr>
        <w:t xml:space="preserve"> </w:t>
      </w:r>
    </w:p>
    <w:p w14:paraId="5AE278FC" w14:textId="598CF9B9" w:rsidR="00DE7271" w:rsidRDefault="00DE7271" w:rsidP="00645CEB">
      <w:pPr>
        <w:pStyle w:val="Heading2"/>
        <w:numPr>
          <w:ilvl w:val="0"/>
          <w:numId w:val="5"/>
        </w:numPr>
        <w:rPr>
          <w:rFonts w:eastAsia="Calibri"/>
        </w:rPr>
      </w:pPr>
      <w:r>
        <w:rPr>
          <w:rFonts w:eastAsia="Calibri"/>
        </w:rPr>
        <w:t>Associated Policy</w:t>
      </w:r>
    </w:p>
    <w:p w14:paraId="3D483EC1" w14:textId="62922727" w:rsidR="00145477" w:rsidRDefault="00CF421A" w:rsidP="0054607C">
      <w:pPr>
        <w:spacing w:after="120" w:line="276" w:lineRule="auto"/>
        <w:rPr>
          <w:rFonts w:ascii="Calibri" w:eastAsia="Calibri" w:hAnsi="Calibri"/>
          <w:sz w:val="22"/>
          <w:szCs w:val="22"/>
          <w:lang w:eastAsia="en-US"/>
        </w:rPr>
      </w:pPr>
      <w:r>
        <w:rPr>
          <w:rFonts w:ascii="Calibri" w:eastAsia="Calibri" w:hAnsi="Calibri"/>
          <w:sz w:val="22"/>
          <w:szCs w:val="22"/>
          <w:lang w:eastAsia="en-US"/>
        </w:rPr>
        <w:t>These</w:t>
      </w:r>
      <w:r w:rsidR="00AC5758">
        <w:rPr>
          <w:rFonts w:ascii="Calibri" w:eastAsia="Calibri" w:hAnsi="Calibri"/>
          <w:sz w:val="22"/>
          <w:szCs w:val="22"/>
          <w:lang w:eastAsia="en-US"/>
        </w:rPr>
        <w:t xml:space="preserve"> </w:t>
      </w:r>
      <w:r w:rsidR="007629CF">
        <w:rPr>
          <w:rFonts w:ascii="Calibri" w:eastAsia="Calibri" w:hAnsi="Calibri"/>
          <w:sz w:val="22"/>
          <w:szCs w:val="22"/>
          <w:lang w:eastAsia="en-US"/>
        </w:rPr>
        <w:t>R</w:t>
      </w:r>
      <w:r w:rsidR="008C0817">
        <w:rPr>
          <w:rFonts w:ascii="Calibri" w:eastAsia="Calibri" w:hAnsi="Calibri"/>
          <w:sz w:val="22"/>
          <w:szCs w:val="22"/>
          <w:lang w:eastAsia="en-US"/>
        </w:rPr>
        <w:t xml:space="preserve">egistered </w:t>
      </w:r>
      <w:r w:rsidR="007629CF">
        <w:rPr>
          <w:rFonts w:ascii="Calibri" w:eastAsia="Calibri" w:hAnsi="Calibri"/>
          <w:sz w:val="22"/>
          <w:szCs w:val="22"/>
          <w:lang w:eastAsia="en-US"/>
        </w:rPr>
        <w:t>T</w:t>
      </w:r>
      <w:r w:rsidR="008C0817">
        <w:rPr>
          <w:rFonts w:ascii="Calibri" w:eastAsia="Calibri" w:hAnsi="Calibri"/>
          <w:sz w:val="22"/>
          <w:szCs w:val="22"/>
          <w:lang w:eastAsia="en-US"/>
        </w:rPr>
        <w:t xml:space="preserve">raining </w:t>
      </w:r>
      <w:r w:rsidR="007629CF">
        <w:rPr>
          <w:rFonts w:ascii="Calibri" w:eastAsia="Calibri" w:hAnsi="Calibri"/>
          <w:sz w:val="22"/>
          <w:szCs w:val="22"/>
          <w:lang w:eastAsia="en-US"/>
        </w:rPr>
        <w:t>O</w:t>
      </w:r>
      <w:r w:rsidR="008C0817">
        <w:rPr>
          <w:rFonts w:ascii="Calibri" w:eastAsia="Calibri" w:hAnsi="Calibri"/>
          <w:sz w:val="22"/>
          <w:szCs w:val="22"/>
          <w:lang w:eastAsia="en-US"/>
        </w:rPr>
        <w:t>rganisation (RTO)</w:t>
      </w:r>
      <w:r w:rsidR="007629CF">
        <w:rPr>
          <w:rFonts w:ascii="Calibri" w:eastAsia="Calibri" w:hAnsi="Calibri"/>
          <w:sz w:val="22"/>
          <w:szCs w:val="22"/>
          <w:lang w:eastAsia="en-US"/>
        </w:rPr>
        <w:t xml:space="preserve"> </w:t>
      </w:r>
      <w:r w:rsidR="00AC5758">
        <w:rPr>
          <w:rFonts w:ascii="Calibri" w:eastAsia="Calibri" w:hAnsi="Calibri"/>
          <w:sz w:val="22"/>
          <w:szCs w:val="22"/>
          <w:lang w:eastAsia="en-US"/>
        </w:rPr>
        <w:t>Compliance</w:t>
      </w:r>
      <w:r>
        <w:rPr>
          <w:rFonts w:ascii="Calibri" w:eastAsia="Calibri" w:hAnsi="Calibri"/>
          <w:sz w:val="22"/>
          <w:szCs w:val="22"/>
          <w:lang w:eastAsia="en-US"/>
        </w:rPr>
        <w:t xml:space="preserve"> </w:t>
      </w:r>
      <w:r w:rsidR="00145477" w:rsidRPr="00145477">
        <w:rPr>
          <w:rFonts w:ascii="Calibri" w:eastAsia="Calibri" w:hAnsi="Calibri"/>
          <w:sz w:val="22"/>
          <w:szCs w:val="22"/>
          <w:lang w:eastAsia="en-US"/>
        </w:rPr>
        <w:t xml:space="preserve">Procedures have been developed in conjunction with the </w:t>
      </w:r>
      <w:r w:rsidR="00BC0D3B">
        <w:rPr>
          <w:rFonts w:ascii="Calibri" w:eastAsia="Calibri" w:hAnsi="Calibri"/>
          <w:sz w:val="22"/>
          <w:szCs w:val="22"/>
          <w:lang w:eastAsia="en-US"/>
        </w:rPr>
        <w:t>R</w:t>
      </w:r>
      <w:r w:rsidR="008C0817">
        <w:rPr>
          <w:rFonts w:ascii="Calibri" w:eastAsia="Calibri" w:hAnsi="Calibri"/>
          <w:sz w:val="22"/>
          <w:szCs w:val="22"/>
          <w:lang w:eastAsia="en-US"/>
        </w:rPr>
        <w:t xml:space="preserve">egistered </w:t>
      </w:r>
      <w:r w:rsidR="00BC0D3B">
        <w:rPr>
          <w:rFonts w:ascii="Calibri" w:eastAsia="Calibri" w:hAnsi="Calibri"/>
          <w:sz w:val="22"/>
          <w:szCs w:val="22"/>
          <w:lang w:eastAsia="en-US"/>
        </w:rPr>
        <w:t>T</w:t>
      </w:r>
      <w:r w:rsidR="008C0817">
        <w:rPr>
          <w:rFonts w:ascii="Calibri" w:eastAsia="Calibri" w:hAnsi="Calibri"/>
          <w:sz w:val="22"/>
          <w:szCs w:val="22"/>
          <w:lang w:eastAsia="en-US"/>
        </w:rPr>
        <w:t xml:space="preserve">raining </w:t>
      </w:r>
      <w:r w:rsidR="00BC0D3B">
        <w:rPr>
          <w:rFonts w:ascii="Calibri" w:eastAsia="Calibri" w:hAnsi="Calibri"/>
          <w:sz w:val="22"/>
          <w:szCs w:val="22"/>
          <w:lang w:eastAsia="en-US"/>
        </w:rPr>
        <w:t>O</w:t>
      </w:r>
      <w:r w:rsidR="008C0817">
        <w:rPr>
          <w:rFonts w:ascii="Calibri" w:eastAsia="Calibri" w:hAnsi="Calibri"/>
          <w:sz w:val="22"/>
          <w:szCs w:val="22"/>
          <w:lang w:eastAsia="en-US"/>
        </w:rPr>
        <w:t>rganisation (RTO)</w:t>
      </w:r>
      <w:r w:rsidR="00BC0D3B">
        <w:rPr>
          <w:rFonts w:ascii="Calibri" w:eastAsia="Calibri" w:hAnsi="Calibri"/>
          <w:sz w:val="22"/>
          <w:szCs w:val="22"/>
          <w:lang w:eastAsia="en-US"/>
        </w:rPr>
        <w:t xml:space="preserve"> </w:t>
      </w:r>
      <w:r w:rsidR="00AC5758">
        <w:rPr>
          <w:rFonts w:ascii="Calibri" w:eastAsia="Calibri" w:hAnsi="Calibri"/>
          <w:sz w:val="22"/>
          <w:szCs w:val="22"/>
          <w:lang w:eastAsia="en-US"/>
        </w:rPr>
        <w:t>Compliance</w:t>
      </w:r>
      <w:r w:rsidR="00145477">
        <w:rPr>
          <w:rFonts w:ascii="Calibri" w:eastAsia="Calibri" w:hAnsi="Calibri"/>
          <w:sz w:val="22"/>
          <w:szCs w:val="22"/>
          <w:lang w:eastAsia="en-US"/>
        </w:rPr>
        <w:t xml:space="preserve"> Policy </w:t>
      </w:r>
      <w:r w:rsidR="00BC0D3B">
        <w:rPr>
          <w:rFonts w:ascii="Calibri" w:eastAsia="Calibri" w:hAnsi="Calibri"/>
          <w:sz w:val="22"/>
          <w:szCs w:val="22"/>
          <w:lang w:eastAsia="en-US"/>
        </w:rPr>
        <w:t>and the CIT Compliance Framework</w:t>
      </w:r>
      <w:r w:rsidR="00145477">
        <w:rPr>
          <w:rFonts w:ascii="Calibri" w:eastAsia="Calibri" w:hAnsi="Calibri"/>
          <w:sz w:val="22"/>
          <w:szCs w:val="22"/>
          <w:lang w:eastAsia="en-US"/>
        </w:rPr>
        <w:t>.</w:t>
      </w:r>
    </w:p>
    <w:p w14:paraId="477584DA" w14:textId="027670F2" w:rsidR="007F1D44" w:rsidRDefault="007F1D44" w:rsidP="00645CEB">
      <w:pPr>
        <w:pStyle w:val="Heading2"/>
        <w:numPr>
          <w:ilvl w:val="0"/>
          <w:numId w:val="5"/>
        </w:numPr>
        <w:rPr>
          <w:rFonts w:eastAsia="Calibri"/>
        </w:rPr>
      </w:pPr>
      <w:r>
        <w:rPr>
          <w:rFonts w:eastAsia="Calibri"/>
        </w:rPr>
        <w:t>Introduction</w:t>
      </w:r>
    </w:p>
    <w:p w14:paraId="56CF82E4" w14:textId="6AF3D7CC" w:rsidR="007F1D44" w:rsidRPr="007F1D44" w:rsidRDefault="007F1D44" w:rsidP="0054607C">
      <w:pPr>
        <w:spacing w:after="120" w:line="276" w:lineRule="auto"/>
        <w:rPr>
          <w:rFonts w:ascii="Calibri" w:eastAsia="Calibri" w:hAnsi="Calibri"/>
          <w:sz w:val="22"/>
          <w:szCs w:val="22"/>
          <w:lang w:eastAsia="en-US"/>
        </w:rPr>
      </w:pPr>
      <w:r w:rsidRPr="007F1D44">
        <w:rPr>
          <w:rFonts w:ascii="Calibri" w:eastAsia="Calibri" w:hAnsi="Calibri"/>
          <w:sz w:val="22"/>
          <w:szCs w:val="22"/>
          <w:lang w:eastAsia="en-US"/>
        </w:rPr>
        <w:t>CIT</w:t>
      </w:r>
      <w:r>
        <w:rPr>
          <w:rFonts w:ascii="Calibri" w:eastAsia="Calibri" w:hAnsi="Calibri"/>
          <w:sz w:val="22"/>
          <w:szCs w:val="22"/>
          <w:lang w:eastAsia="en-US"/>
        </w:rPr>
        <w:t xml:space="preserve"> must meet the requirements </w:t>
      </w:r>
      <w:r w:rsidR="000621C6">
        <w:rPr>
          <w:rFonts w:ascii="Calibri" w:eastAsia="Calibri" w:hAnsi="Calibri"/>
          <w:sz w:val="22"/>
          <w:szCs w:val="22"/>
          <w:lang w:eastAsia="en-US"/>
        </w:rPr>
        <w:t>of</w:t>
      </w:r>
      <w:r>
        <w:rPr>
          <w:rFonts w:ascii="Calibri" w:eastAsia="Calibri" w:hAnsi="Calibri"/>
          <w:sz w:val="22"/>
          <w:szCs w:val="22"/>
          <w:lang w:eastAsia="en-US"/>
        </w:rPr>
        <w:t xml:space="preserve"> the following regulatory bodies and Standards for registered training organisations</w:t>
      </w:r>
      <w:r w:rsidRPr="007F1D44">
        <w:rPr>
          <w:rFonts w:ascii="Calibri" w:eastAsia="Calibri" w:hAnsi="Calibri"/>
          <w:sz w:val="22"/>
          <w:szCs w:val="22"/>
          <w:lang w:eastAsia="en-US"/>
        </w:rPr>
        <w:t>:</w:t>
      </w:r>
    </w:p>
    <w:p w14:paraId="71DD4D47" w14:textId="7F94BA17" w:rsidR="007F1D44" w:rsidRPr="00B52DA4" w:rsidRDefault="00A84A3C" w:rsidP="00645CEB">
      <w:pPr>
        <w:pStyle w:val="ListParagraph"/>
        <w:widowControl w:val="0"/>
        <w:numPr>
          <w:ilvl w:val="1"/>
          <w:numId w:val="6"/>
        </w:numPr>
        <w:tabs>
          <w:tab w:val="left" w:pos="709"/>
        </w:tabs>
        <w:autoSpaceDE w:val="0"/>
        <w:autoSpaceDN w:val="0"/>
        <w:spacing w:before="118" w:after="0"/>
        <w:ind w:left="709" w:hanging="425"/>
        <w:contextualSpacing w:val="0"/>
        <w:rPr>
          <w:i/>
          <w:iCs/>
        </w:rPr>
      </w:pPr>
      <w:hyperlink r:id="rId11" w:history="1">
        <w:r w:rsidR="007F1D44" w:rsidRPr="00B52DA4">
          <w:rPr>
            <w:rStyle w:val="Hyperlink"/>
            <w:i/>
            <w:iCs/>
            <w:u w:color="0000FF"/>
          </w:rPr>
          <w:t>Standards for Registered Training Organisations (RTOs) 2015</w:t>
        </w:r>
      </w:hyperlink>
      <w:r w:rsidR="007F1D44" w:rsidRPr="00B52DA4">
        <w:rPr>
          <w:i/>
          <w:iCs/>
        </w:rPr>
        <w:t xml:space="preserve"> </w:t>
      </w:r>
    </w:p>
    <w:p w14:paraId="1B87F94D" w14:textId="77314FCA" w:rsidR="00AD12EA" w:rsidRPr="00B52DA4" w:rsidRDefault="00A84A3C" w:rsidP="00B52DA4">
      <w:pPr>
        <w:pStyle w:val="ListParagraph"/>
        <w:widowControl w:val="0"/>
        <w:numPr>
          <w:ilvl w:val="1"/>
          <w:numId w:val="6"/>
        </w:numPr>
        <w:tabs>
          <w:tab w:val="left" w:pos="709"/>
        </w:tabs>
        <w:autoSpaceDE w:val="0"/>
        <w:autoSpaceDN w:val="0"/>
        <w:spacing w:before="1" w:after="0"/>
        <w:ind w:left="709" w:hanging="425"/>
        <w:contextualSpacing w:val="0"/>
        <w:rPr>
          <w:i/>
          <w:iCs/>
        </w:rPr>
      </w:pPr>
      <w:hyperlink r:id="rId12" w:history="1">
        <w:hyperlink r:id="rId13" w:history="1">
          <w:r w:rsidR="00AD12EA" w:rsidRPr="00B52DA4">
            <w:rPr>
              <w:rStyle w:val="Hyperlink"/>
              <w:i/>
              <w:iCs/>
            </w:rPr>
            <w:t>National Vocational Education and Training Regulator Act (NVETR)</w:t>
          </w:r>
        </w:hyperlink>
      </w:hyperlink>
    </w:p>
    <w:p w14:paraId="51EA7E93" w14:textId="46F6B663" w:rsidR="007F1D44" w:rsidRPr="00B52DA4" w:rsidRDefault="00A84A3C" w:rsidP="00645CEB">
      <w:pPr>
        <w:pStyle w:val="ListParagraph"/>
        <w:widowControl w:val="0"/>
        <w:numPr>
          <w:ilvl w:val="1"/>
          <w:numId w:val="6"/>
        </w:numPr>
        <w:tabs>
          <w:tab w:val="left" w:pos="709"/>
        </w:tabs>
        <w:autoSpaceDE w:val="0"/>
        <w:autoSpaceDN w:val="0"/>
        <w:spacing w:before="1" w:after="0"/>
        <w:ind w:left="709" w:hanging="425"/>
        <w:contextualSpacing w:val="0"/>
        <w:rPr>
          <w:i/>
          <w:iCs/>
        </w:rPr>
      </w:pPr>
      <w:hyperlink r:id="rId14">
        <w:r w:rsidR="007F1D44" w:rsidRPr="00B52DA4">
          <w:rPr>
            <w:i/>
            <w:iCs/>
            <w:color w:val="0000FF"/>
            <w:u w:val="single" w:color="0000FF"/>
          </w:rPr>
          <w:t>Australian Skills Quality</w:t>
        </w:r>
        <w:r w:rsidR="007F1D44" w:rsidRPr="00B52DA4">
          <w:rPr>
            <w:i/>
            <w:iCs/>
            <w:color w:val="0000FF"/>
            <w:spacing w:val="-1"/>
            <w:u w:val="single" w:color="0000FF"/>
          </w:rPr>
          <w:t xml:space="preserve"> </w:t>
        </w:r>
        <w:r w:rsidR="007F1D44" w:rsidRPr="00B52DA4">
          <w:rPr>
            <w:i/>
            <w:iCs/>
            <w:color w:val="0000FF"/>
            <w:u w:val="single" w:color="0000FF"/>
          </w:rPr>
          <w:t>Authority</w:t>
        </w:r>
      </w:hyperlink>
      <w:r w:rsidR="008C0817" w:rsidRPr="00B52DA4">
        <w:rPr>
          <w:i/>
          <w:iCs/>
          <w:color w:val="0000FF"/>
          <w:u w:val="single"/>
        </w:rPr>
        <w:t xml:space="preserve"> (ASQA)</w:t>
      </w:r>
    </w:p>
    <w:p w14:paraId="279F4C6F" w14:textId="67CB4446" w:rsidR="007F1D44" w:rsidRPr="00B52DA4" w:rsidRDefault="00A84A3C" w:rsidP="00645CEB">
      <w:pPr>
        <w:pStyle w:val="ListParagraph"/>
        <w:widowControl w:val="0"/>
        <w:numPr>
          <w:ilvl w:val="1"/>
          <w:numId w:val="6"/>
        </w:numPr>
        <w:tabs>
          <w:tab w:val="left" w:pos="709"/>
        </w:tabs>
        <w:autoSpaceDE w:val="0"/>
        <w:autoSpaceDN w:val="0"/>
        <w:spacing w:after="0"/>
        <w:ind w:left="709" w:hanging="425"/>
        <w:contextualSpacing w:val="0"/>
        <w:rPr>
          <w:i/>
          <w:iCs/>
        </w:rPr>
      </w:pPr>
      <w:hyperlink r:id="rId15">
        <w:r w:rsidR="007F1D44" w:rsidRPr="00B52DA4">
          <w:rPr>
            <w:i/>
            <w:iCs/>
            <w:color w:val="0000FF"/>
            <w:u w:val="single" w:color="0000FF"/>
          </w:rPr>
          <w:t>ELICOS Standards and the E</w:t>
        </w:r>
        <w:r w:rsidR="008C0817" w:rsidRPr="00B52DA4">
          <w:rPr>
            <w:i/>
            <w:iCs/>
            <w:color w:val="0000FF"/>
            <w:u w:val="single"/>
          </w:rPr>
          <w:t xml:space="preserve">ducation </w:t>
        </w:r>
        <w:r w:rsidR="007F1D44" w:rsidRPr="00B52DA4">
          <w:rPr>
            <w:i/>
            <w:iCs/>
            <w:color w:val="0000FF"/>
            <w:u w:val="single" w:color="0000FF"/>
          </w:rPr>
          <w:t>S</w:t>
        </w:r>
        <w:r w:rsidR="008C0817" w:rsidRPr="00B52DA4">
          <w:rPr>
            <w:i/>
            <w:iCs/>
            <w:color w:val="0000FF"/>
            <w:u w:val="single"/>
          </w:rPr>
          <w:t xml:space="preserve">ervices for </w:t>
        </w:r>
        <w:r w:rsidR="007F1D44" w:rsidRPr="00B52DA4">
          <w:rPr>
            <w:i/>
            <w:iCs/>
            <w:color w:val="0000FF"/>
            <w:u w:val="single" w:color="0000FF"/>
          </w:rPr>
          <w:t>O</w:t>
        </w:r>
        <w:r w:rsidR="008C0817" w:rsidRPr="00B52DA4">
          <w:rPr>
            <w:i/>
            <w:iCs/>
            <w:color w:val="0000FF"/>
            <w:u w:val="single"/>
          </w:rPr>
          <w:t xml:space="preserve">verseas </w:t>
        </w:r>
        <w:r w:rsidR="007F1D44" w:rsidRPr="00B52DA4">
          <w:rPr>
            <w:i/>
            <w:iCs/>
            <w:color w:val="0000FF"/>
            <w:u w:val="single" w:color="0000FF"/>
          </w:rPr>
          <w:t>S</w:t>
        </w:r>
        <w:r w:rsidR="008C0817" w:rsidRPr="00B52DA4">
          <w:rPr>
            <w:i/>
            <w:iCs/>
            <w:color w:val="0000FF"/>
            <w:u w:val="single"/>
          </w:rPr>
          <w:t>tudents (ESOS)</w:t>
        </w:r>
        <w:r w:rsidR="007F1D44" w:rsidRPr="00B52DA4">
          <w:rPr>
            <w:i/>
            <w:iCs/>
            <w:color w:val="0000FF"/>
            <w:u w:val="single" w:color="0000FF"/>
          </w:rPr>
          <w:t xml:space="preserve"> National</w:t>
        </w:r>
        <w:r w:rsidR="007F1D44" w:rsidRPr="00B52DA4">
          <w:rPr>
            <w:i/>
            <w:iCs/>
            <w:color w:val="0000FF"/>
            <w:spacing w:val="-8"/>
            <w:u w:val="single" w:color="0000FF"/>
          </w:rPr>
          <w:t xml:space="preserve"> </w:t>
        </w:r>
        <w:r w:rsidR="007F1D44" w:rsidRPr="00B52DA4">
          <w:rPr>
            <w:i/>
            <w:iCs/>
            <w:color w:val="0000FF"/>
            <w:u w:val="single" w:color="0000FF"/>
          </w:rPr>
          <w:t>Code</w:t>
        </w:r>
      </w:hyperlink>
    </w:p>
    <w:p w14:paraId="53F8A7C0" w14:textId="2D301874" w:rsidR="00454F10" w:rsidRPr="00BF636A" w:rsidRDefault="00454F10" w:rsidP="00645CEB">
      <w:pPr>
        <w:pStyle w:val="ListParagraph"/>
        <w:widowControl w:val="0"/>
        <w:numPr>
          <w:ilvl w:val="1"/>
          <w:numId w:val="6"/>
        </w:numPr>
        <w:tabs>
          <w:tab w:val="left" w:pos="709"/>
        </w:tabs>
        <w:autoSpaceDE w:val="0"/>
        <w:autoSpaceDN w:val="0"/>
        <w:spacing w:after="0"/>
        <w:ind w:left="709" w:hanging="425"/>
        <w:contextualSpacing w:val="0"/>
        <w:rPr>
          <w:i/>
          <w:iCs/>
        </w:rPr>
      </w:pPr>
      <w:r w:rsidRPr="00B52DA4">
        <w:rPr>
          <w:i/>
          <w:iCs/>
          <w:color w:val="0000FF"/>
          <w:u w:val="single"/>
        </w:rPr>
        <w:t>ACT V</w:t>
      </w:r>
      <w:r w:rsidR="008C0817" w:rsidRPr="00B52DA4">
        <w:rPr>
          <w:i/>
          <w:iCs/>
          <w:color w:val="0000FF"/>
          <w:u w:val="single"/>
        </w:rPr>
        <w:t xml:space="preserve">ocational </w:t>
      </w:r>
      <w:r w:rsidRPr="00B52DA4">
        <w:rPr>
          <w:i/>
          <w:iCs/>
          <w:color w:val="0000FF"/>
          <w:u w:val="single"/>
        </w:rPr>
        <w:t>E</w:t>
      </w:r>
      <w:r w:rsidR="008C0817" w:rsidRPr="00B52DA4">
        <w:rPr>
          <w:i/>
          <w:iCs/>
          <w:color w:val="0000FF"/>
          <w:u w:val="single"/>
        </w:rPr>
        <w:t xml:space="preserve">ducation and </w:t>
      </w:r>
      <w:r w:rsidRPr="00B52DA4">
        <w:rPr>
          <w:i/>
          <w:iCs/>
          <w:color w:val="0000FF"/>
          <w:u w:val="single"/>
        </w:rPr>
        <w:t>T</w:t>
      </w:r>
      <w:r w:rsidR="008C0817" w:rsidRPr="00B52DA4">
        <w:rPr>
          <w:i/>
          <w:iCs/>
          <w:color w:val="0000FF"/>
          <w:u w:val="single"/>
        </w:rPr>
        <w:t>raining (VET)</w:t>
      </w:r>
      <w:r w:rsidRPr="00B52DA4">
        <w:rPr>
          <w:i/>
          <w:iCs/>
          <w:color w:val="0000FF"/>
          <w:u w:val="single"/>
        </w:rPr>
        <w:t xml:space="preserve"> Quality Framework</w:t>
      </w:r>
    </w:p>
    <w:p w14:paraId="3F5D2092" w14:textId="07B3FB0C" w:rsidR="007F1D44" w:rsidRPr="007F1D44" w:rsidRDefault="007F1D44" w:rsidP="0054607C">
      <w:pPr>
        <w:spacing w:after="120" w:line="276" w:lineRule="auto"/>
        <w:rPr>
          <w:rFonts w:ascii="Calibri" w:eastAsia="Calibri" w:hAnsi="Calibri"/>
          <w:sz w:val="22"/>
          <w:szCs w:val="22"/>
          <w:lang w:eastAsia="en-US"/>
        </w:rPr>
      </w:pPr>
      <w:r>
        <w:rPr>
          <w:rFonts w:ascii="Calibri" w:eastAsia="Calibri" w:hAnsi="Calibri"/>
          <w:sz w:val="22"/>
          <w:szCs w:val="22"/>
          <w:lang w:eastAsia="en-US"/>
        </w:rPr>
        <w:br/>
      </w:r>
      <w:r w:rsidRPr="007F1D44">
        <w:rPr>
          <w:rFonts w:ascii="Calibri" w:eastAsia="Calibri" w:hAnsi="Calibri"/>
          <w:sz w:val="22"/>
          <w:szCs w:val="22"/>
          <w:lang w:eastAsia="en-US"/>
        </w:rPr>
        <w:t xml:space="preserve">These procedures provide additional clarification and guidance for consistency in </w:t>
      </w:r>
      <w:r w:rsidR="00AD12EA">
        <w:rPr>
          <w:rFonts w:ascii="Calibri" w:eastAsia="Calibri" w:hAnsi="Calibri"/>
          <w:sz w:val="22"/>
          <w:szCs w:val="22"/>
          <w:lang w:eastAsia="en-US"/>
        </w:rPr>
        <w:t xml:space="preserve">the </w:t>
      </w:r>
      <w:r w:rsidRPr="007F1D44">
        <w:rPr>
          <w:rFonts w:ascii="Calibri" w:eastAsia="Calibri" w:hAnsi="Calibri"/>
          <w:sz w:val="22"/>
          <w:szCs w:val="22"/>
          <w:lang w:eastAsia="en-US"/>
        </w:rPr>
        <w:t>application</w:t>
      </w:r>
      <w:r w:rsidR="00AD12EA">
        <w:rPr>
          <w:rFonts w:ascii="Calibri" w:eastAsia="Calibri" w:hAnsi="Calibri"/>
          <w:sz w:val="22"/>
          <w:szCs w:val="22"/>
          <w:lang w:eastAsia="en-US"/>
        </w:rPr>
        <w:t xml:space="preserve"> of these legislative and regulatory requirements</w:t>
      </w:r>
      <w:r w:rsidRPr="007F1D44">
        <w:rPr>
          <w:rFonts w:ascii="Calibri" w:eastAsia="Calibri" w:hAnsi="Calibri"/>
          <w:sz w:val="22"/>
          <w:szCs w:val="22"/>
          <w:lang w:eastAsia="en-US"/>
        </w:rPr>
        <w:t xml:space="preserve"> across CIT</w:t>
      </w:r>
      <w:r w:rsidR="00AD12EA">
        <w:rPr>
          <w:rFonts w:ascii="Calibri" w:eastAsia="Calibri" w:hAnsi="Calibri"/>
          <w:sz w:val="22"/>
          <w:szCs w:val="22"/>
          <w:lang w:eastAsia="en-US"/>
        </w:rPr>
        <w:t>,</w:t>
      </w:r>
      <w:r w:rsidRPr="007F1D44">
        <w:rPr>
          <w:rFonts w:ascii="Calibri" w:eastAsia="Calibri" w:hAnsi="Calibri"/>
          <w:sz w:val="22"/>
          <w:szCs w:val="22"/>
          <w:lang w:eastAsia="en-US"/>
        </w:rPr>
        <w:t xml:space="preserve"> as well as procedural steps where appropriate to support the </w:t>
      </w:r>
      <w:r w:rsidR="00AD12EA">
        <w:rPr>
          <w:rFonts w:ascii="Calibri" w:eastAsia="Calibri" w:hAnsi="Calibri"/>
          <w:sz w:val="22"/>
          <w:szCs w:val="22"/>
          <w:lang w:eastAsia="en-US"/>
        </w:rPr>
        <w:t>Registered Training Organisation (RTO) Compliance P</w:t>
      </w:r>
      <w:r w:rsidRPr="007F1D44">
        <w:rPr>
          <w:rFonts w:ascii="Calibri" w:eastAsia="Calibri" w:hAnsi="Calibri"/>
          <w:sz w:val="22"/>
          <w:szCs w:val="22"/>
          <w:lang w:eastAsia="en-US"/>
        </w:rPr>
        <w:t>olicy.</w:t>
      </w:r>
    </w:p>
    <w:p w14:paraId="765B99E1" w14:textId="77777777" w:rsidR="003E4EE8" w:rsidRDefault="00DE7271" w:rsidP="00645CEB">
      <w:pPr>
        <w:pStyle w:val="Heading2"/>
        <w:numPr>
          <w:ilvl w:val="0"/>
          <w:numId w:val="5"/>
        </w:numPr>
        <w:rPr>
          <w:rFonts w:eastAsia="Calibri"/>
        </w:rPr>
      </w:pPr>
      <w:r>
        <w:rPr>
          <w:rFonts w:eastAsia="Calibri"/>
        </w:rPr>
        <w:t>Procedures</w:t>
      </w:r>
      <w:r w:rsidR="00D420BE">
        <w:rPr>
          <w:rFonts w:eastAsia="Calibri"/>
        </w:rPr>
        <w:t xml:space="preserve"> </w:t>
      </w:r>
    </w:p>
    <w:p w14:paraId="333636AA" w14:textId="6F15F171" w:rsidR="00921F79" w:rsidRPr="003E4EE8" w:rsidRDefault="00921F79" w:rsidP="00F375C5">
      <w:pPr>
        <w:pStyle w:val="Heading2"/>
        <w:numPr>
          <w:ilvl w:val="1"/>
          <w:numId w:val="5"/>
        </w:numPr>
        <w:ind w:left="709" w:hanging="709"/>
        <w:rPr>
          <w:rFonts w:eastAsia="Calibri"/>
          <w:color w:val="auto"/>
          <w:sz w:val="20"/>
          <w:szCs w:val="20"/>
        </w:rPr>
      </w:pPr>
      <w:r w:rsidRPr="003E4EE8">
        <w:rPr>
          <w:rFonts w:asciiTheme="minorHAnsi" w:hAnsiTheme="minorHAnsi" w:cstheme="minorHAnsi"/>
          <w:color w:val="auto"/>
          <w:sz w:val="20"/>
          <w:szCs w:val="20"/>
        </w:rPr>
        <w:t>Roles and Responsibilities</w:t>
      </w:r>
    </w:p>
    <w:tbl>
      <w:tblPr>
        <w:tblStyle w:val="TableGrid"/>
        <w:tblW w:w="0" w:type="auto"/>
        <w:tblLook w:val="04A0" w:firstRow="1" w:lastRow="0" w:firstColumn="1" w:lastColumn="0" w:noHBand="0" w:noVBand="1"/>
      </w:tblPr>
      <w:tblGrid>
        <w:gridCol w:w="2547"/>
        <w:gridCol w:w="6825"/>
      </w:tblGrid>
      <w:tr w:rsidR="00921F79" w:rsidRPr="00921F79" w14:paraId="753A202A" w14:textId="77777777" w:rsidTr="5588621F">
        <w:tc>
          <w:tcPr>
            <w:tcW w:w="2547" w:type="dxa"/>
          </w:tcPr>
          <w:p w14:paraId="4F3F431F" w14:textId="04661642" w:rsidR="00921F79" w:rsidRPr="00921F79" w:rsidRDefault="00921F79" w:rsidP="00921F79">
            <w:pPr>
              <w:spacing w:after="120"/>
              <w:rPr>
                <w:rFonts w:ascii="Calibri" w:eastAsia="Calibri" w:hAnsi="Calibri"/>
                <w:sz w:val="22"/>
                <w:szCs w:val="22"/>
                <w:lang w:eastAsia="en-US"/>
              </w:rPr>
            </w:pPr>
            <w:r w:rsidRPr="00921F79">
              <w:rPr>
                <w:rFonts w:ascii="Calibri" w:eastAsia="Calibri" w:hAnsi="Calibri"/>
                <w:sz w:val="22"/>
                <w:szCs w:val="22"/>
                <w:lang w:eastAsia="en-US"/>
              </w:rPr>
              <w:t>Roles</w:t>
            </w:r>
          </w:p>
        </w:tc>
        <w:tc>
          <w:tcPr>
            <w:tcW w:w="6825" w:type="dxa"/>
          </w:tcPr>
          <w:p w14:paraId="48FEE23D" w14:textId="1C3D3E64" w:rsidR="00921F79" w:rsidRPr="00921F79" w:rsidRDefault="00921F79" w:rsidP="00921F79">
            <w:pPr>
              <w:spacing w:after="120"/>
              <w:rPr>
                <w:rFonts w:ascii="Calibri" w:eastAsia="Calibri" w:hAnsi="Calibri"/>
                <w:sz w:val="22"/>
                <w:szCs w:val="22"/>
                <w:lang w:eastAsia="en-US"/>
              </w:rPr>
            </w:pPr>
            <w:r w:rsidRPr="00921F79">
              <w:rPr>
                <w:rFonts w:ascii="Calibri" w:eastAsia="Calibri" w:hAnsi="Calibri"/>
                <w:sz w:val="22"/>
                <w:szCs w:val="22"/>
                <w:lang w:eastAsia="en-US"/>
              </w:rPr>
              <w:t>Responsibilities</w:t>
            </w:r>
          </w:p>
        </w:tc>
      </w:tr>
      <w:tr w:rsidR="00921F79" w14:paraId="3290B993" w14:textId="77777777" w:rsidTr="5588621F">
        <w:tc>
          <w:tcPr>
            <w:tcW w:w="2547" w:type="dxa"/>
          </w:tcPr>
          <w:p w14:paraId="51F0DB93" w14:textId="1592CEF2" w:rsidR="00921F79" w:rsidRPr="00921F79" w:rsidRDefault="000621C6" w:rsidP="00921F79">
            <w:pPr>
              <w:spacing w:after="120"/>
              <w:rPr>
                <w:rFonts w:ascii="Calibri" w:eastAsia="Calibri" w:hAnsi="Calibri"/>
                <w:sz w:val="22"/>
                <w:szCs w:val="22"/>
                <w:lang w:eastAsia="en-US"/>
              </w:rPr>
            </w:pPr>
            <w:r>
              <w:rPr>
                <w:rFonts w:ascii="Calibri" w:eastAsia="Calibri" w:hAnsi="Calibri"/>
                <w:sz w:val="22"/>
                <w:szCs w:val="22"/>
                <w:lang w:eastAsia="en-US"/>
              </w:rPr>
              <w:t>Board</w:t>
            </w:r>
            <w:r w:rsidRPr="00921F79">
              <w:rPr>
                <w:rFonts w:ascii="Calibri" w:eastAsia="Calibri" w:hAnsi="Calibri"/>
                <w:sz w:val="22"/>
                <w:szCs w:val="22"/>
                <w:lang w:eastAsia="en-US"/>
              </w:rPr>
              <w:t xml:space="preserve"> </w:t>
            </w:r>
            <w:r w:rsidR="00921F79" w:rsidRPr="00921F79">
              <w:rPr>
                <w:rFonts w:ascii="Calibri" w:eastAsia="Calibri" w:hAnsi="Calibri"/>
                <w:sz w:val="22"/>
                <w:szCs w:val="22"/>
                <w:lang w:eastAsia="en-US"/>
              </w:rPr>
              <w:t>Members</w:t>
            </w:r>
          </w:p>
        </w:tc>
        <w:tc>
          <w:tcPr>
            <w:tcW w:w="6825" w:type="dxa"/>
          </w:tcPr>
          <w:p w14:paraId="06C9C1E5" w14:textId="77777777" w:rsidR="00913057" w:rsidRPr="00913057" w:rsidRDefault="00913057" w:rsidP="00913057">
            <w:pPr>
              <w:spacing w:after="120"/>
              <w:rPr>
                <w:rFonts w:ascii="Calibri" w:eastAsia="Calibri" w:hAnsi="Calibri"/>
                <w:sz w:val="22"/>
                <w:szCs w:val="22"/>
                <w:lang w:eastAsia="en-US"/>
              </w:rPr>
            </w:pPr>
            <w:r w:rsidRPr="00913057">
              <w:rPr>
                <w:rFonts w:ascii="Calibri" w:eastAsia="Calibri" w:hAnsi="Calibri"/>
                <w:sz w:val="22"/>
                <w:szCs w:val="22"/>
                <w:lang w:eastAsia="en-US"/>
              </w:rPr>
              <w:t>Upon initial appointment complete an ASQA Fit and Proper Person Declaration</w:t>
            </w:r>
          </w:p>
          <w:p w14:paraId="20247B09" w14:textId="1C1A5B2C" w:rsidR="000621C6" w:rsidRPr="00921F79" w:rsidRDefault="000621C6"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Monitor </w:t>
            </w:r>
            <w:r w:rsidR="00AD12EA">
              <w:rPr>
                <w:rFonts w:ascii="Calibri" w:eastAsia="Calibri" w:hAnsi="Calibri"/>
                <w:sz w:val="22"/>
                <w:szCs w:val="22"/>
                <w:lang w:eastAsia="en-US"/>
              </w:rPr>
              <w:t xml:space="preserve">Compliance Obligation </w:t>
            </w:r>
            <w:r>
              <w:rPr>
                <w:rFonts w:ascii="Calibri" w:eastAsia="Calibri" w:hAnsi="Calibri"/>
                <w:sz w:val="22"/>
                <w:szCs w:val="22"/>
                <w:lang w:eastAsia="en-US"/>
              </w:rPr>
              <w:t>register</w:t>
            </w:r>
          </w:p>
        </w:tc>
      </w:tr>
      <w:tr w:rsidR="00921F79" w14:paraId="38760873" w14:textId="77777777" w:rsidTr="5588621F">
        <w:tc>
          <w:tcPr>
            <w:tcW w:w="2547" w:type="dxa"/>
          </w:tcPr>
          <w:p w14:paraId="752C03CE" w14:textId="68744B60" w:rsidR="00921F79" w:rsidRP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Executive Management </w:t>
            </w:r>
            <w:r w:rsidR="000621C6">
              <w:rPr>
                <w:rFonts w:ascii="Calibri" w:eastAsia="Calibri" w:hAnsi="Calibri"/>
                <w:sz w:val="22"/>
                <w:szCs w:val="22"/>
                <w:lang w:eastAsia="en-US"/>
              </w:rPr>
              <w:t>Committee</w:t>
            </w:r>
          </w:p>
        </w:tc>
        <w:tc>
          <w:tcPr>
            <w:tcW w:w="6825" w:type="dxa"/>
          </w:tcPr>
          <w:p w14:paraId="498C2E10"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Upon initial appointment complete an ASQA Fit and Proper Person Declaration</w:t>
            </w:r>
          </w:p>
          <w:p w14:paraId="3A7CB147"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Identify Reportable Occurrence(s) that require Material Change Notifications (MCNs) and notify the relevant Accountable Executive</w:t>
            </w:r>
          </w:p>
          <w:p w14:paraId="1022EA36" w14:textId="5446208E" w:rsidR="00921F79" w:rsidRPr="00921F79" w:rsidRDefault="00921F79" w:rsidP="5588621F">
            <w:pPr>
              <w:spacing w:after="120"/>
              <w:rPr>
                <w:rFonts w:ascii="Calibri" w:eastAsia="Calibri" w:hAnsi="Calibri"/>
                <w:sz w:val="22"/>
                <w:szCs w:val="22"/>
                <w:lang w:eastAsia="en-US"/>
              </w:rPr>
            </w:pPr>
            <w:r w:rsidRPr="5588621F">
              <w:rPr>
                <w:rFonts w:ascii="Calibri" w:eastAsia="Calibri" w:hAnsi="Calibri"/>
                <w:sz w:val="22"/>
                <w:szCs w:val="22"/>
                <w:lang w:eastAsia="en-US"/>
              </w:rPr>
              <w:t>Support Accountable Executive(s) in the preparation of MCNs and regulator request for information and compliance assessments</w:t>
            </w:r>
          </w:p>
          <w:p w14:paraId="349AFA03" w14:textId="66B15FA7" w:rsidR="00921F79" w:rsidRPr="00921F79" w:rsidRDefault="3CEF6368" w:rsidP="5588621F">
            <w:pPr>
              <w:spacing w:after="120"/>
              <w:rPr>
                <w:rFonts w:ascii="Calibri" w:eastAsia="Calibri" w:hAnsi="Calibri"/>
                <w:sz w:val="22"/>
                <w:szCs w:val="22"/>
                <w:lang w:eastAsia="en-US"/>
              </w:rPr>
            </w:pPr>
            <w:r w:rsidRPr="5588621F">
              <w:rPr>
                <w:rFonts w:ascii="Calibri" w:eastAsia="Calibri" w:hAnsi="Calibri"/>
                <w:sz w:val="22"/>
                <w:szCs w:val="22"/>
                <w:lang w:eastAsia="en-US"/>
              </w:rPr>
              <w:t>Approve all changes to scope of registration</w:t>
            </w:r>
          </w:p>
        </w:tc>
      </w:tr>
      <w:tr w:rsidR="00921F79" w14:paraId="0161C96C" w14:textId="77777777" w:rsidTr="5588621F">
        <w:tc>
          <w:tcPr>
            <w:tcW w:w="2547" w:type="dxa"/>
          </w:tcPr>
          <w:p w14:paraId="232F08EF" w14:textId="12F38532" w:rsidR="00921F79" w:rsidRP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Chief Executive Officer (CEO)</w:t>
            </w:r>
          </w:p>
        </w:tc>
        <w:tc>
          <w:tcPr>
            <w:tcW w:w="6825" w:type="dxa"/>
          </w:tcPr>
          <w:p w14:paraId="4C9D9C03" w14:textId="77777777" w:rsidR="00CA5682" w:rsidRPr="00CA5682" w:rsidRDefault="00CA5682" w:rsidP="00CA5682">
            <w:pPr>
              <w:spacing w:after="120"/>
              <w:rPr>
                <w:rFonts w:ascii="Calibri" w:eastAsia="Calibri" w:hAnsi="Calibri"/>
                <w:sz w:val="22"/>
                <w:szCs w:val="22"/>
                <w:lang w:eastAsia="en-US"/>
              </w:rPr>
            </w:pPr>
            <w:r w:rsidRPr="00CA5682">
              <w:rPr>
                <w:rFonts w:ascii="Calibri" w:eastAsia="Calibri" w:hAnsi="Calibri"/>
                <w:sz w:val="22"/>
                <w:szCs w:val="22"/>
                <w:lang w:eastAsia="en-US"/>
              </w:rPr>
              <w:t>Upon initial appointment complete an ASQA Fit and Proper Person Declaration</w:t>
            </w:r>
          </w:p>
          <w:p w14:paraId="42670F46" w14:textId="770F5C7E"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Nominate and approve Accountable Executive(s) for ASQA including C</w:t>
            </w:r>
            <w:r w:rsidR="00AD12EA">
              <w:rPr>
                <w:rFonts w:ascii="Calibri" w:eastAsia="Calibri" w:hAnsi="Calibri"/>
                <w:sz w:val="22"/>
                <w:szCs w:val="22"/>
                <w:lang w:eastAsia="en-US"/>
              </w:rPr>
              <w:t xml:space="preserve">ommonwealth </w:t>
            </w:r>
            <w:r>
              <w:rPr>
                <w:rFonts w:ascii="Calibri" w:eastAsia="Calibri" w:hAnsi="Calibri"/>
                <w:sz w:val="22"/>
                <w:szCs w:val="22"/>
                <w:lang w:eastAsia="en-US"/>
              </w:rPr>
              <w:t>R</w:t>
            </w:r>
            <w:r w:rsidR="00AD12EA">
              <w:rPr>
                <w:rFonts w:ascii="Calibri" w:eastAsia="Calibri" w:hAnsi="Calibri"/>
                <w:sz w:val="22"/>
                <w:szCs w:val="22"/>
                <w:lang w:eastAsia="en-US"/>
              </w:rPr>
              <w:t xml:space="preserve">egister for </w:t>
            </w:r>
            <w:r>
              <w:rPr>
                <w:rFonts w:ascii="Calibri" w:eastAsia="Calibri" w:hAnsi="Calibri"/>
                <w:sz w:val="22"/>
                <w:szCs w:val="22"/>
                <w:lang w:eastAsia="en-US"/>
              </w:rPr>
              <w:t>I</w:t>
            </w:r>
            <w:r w:rsidR="00AD12EA">
              <w:rPr>
                <w:rFonts w:ascii="Calibri" w:eastAsia="Calibri" w:hAnsi="Calibri"/>
                <w:sz w:val="22"/>
                <w:szCs w:val="22"/>
                <w:lang w:eastAsia="en-US"/>
              </w:rPr>
              <w:t xml:space="preserve">nstitutions and </w:t>
            </w:r>
            <w:r>
              <w:rPr>
                <w:rFonts w:ascii="Calibri" w:eastAsia="Calibri" w:hAnsi="Calibri"/>
                <w:sz w:val="22"/>
                <w:szCs w:val="22"/>
                <w:lang w:eastAsia="en-US"/>
              </w:rPr>
              <w:t>C</w:t>
            </w:r>
            <w:r w:rsidR="00AD12EA">
              <w:rPr>
                <w:rFonts w:ascii="Calibri" w:eastAsia="Calibri" w:hAnsi="Calibri"/>
                <w:sz w:val="22"/>
                <w:szCs w:val="22"/>
                <w:lang w:eastAsia="en-US"/>
              </w:rPr>
              <w:t xml:space="preserve">ourses for </w:t>
            </w:r>
            <w:r>
              <w:rPr>
                <w:rFonts w:ascii="Calibri" w:eastAsia="Calibri" w:hAnsi="Calibri"/>
                <w:sz w:val="22"/>
                <w:szCs w:val="22"/>
                <w:lang w:eastAsia="en-US"/>
              </w:rPr>
              <w:t>O</w:t>
            </w:r>
            <w:r w:rsidR="00AD12EA">
              <w:rPr>
                <w:rFonts w:ascii="Calibri" w:eastAsia="Calibri" w:hAnsi="Calibri"/>
                <w:sz w:val="22"/>
                <w:szCs w:val="22"/>
                <w:lang w:eastAsia="en-US"/>
              </w:rPr>
              <w:t xml:space="preserve">verseas </w:t>
            </w:r>
            <w:r>
              <w:rPr>
                <w:rFonts w:ascii="Calibri" w:eastAsia="Calibri" w:hAnsi="Calibri"/>
                <w:sz w:val="22"/>
                <w:szCs w:val="22"/>
                <w:lang w:eastAsia="en-US"/>
              </w:rPr>
              <w:t>S</w:t>
            </w:r>
            <w:r w:rsidR="00AD12EA">
              <w:rPr>
                <w:rFonts w:ascii="Calibri" w:eastAsia="Calibri" w:hAnsi="Calibri"/>
                <w:sz w:val="22"/>
                <w:szCs w:val="22"/>
                <w:lang w:eastAsia="en-US"/>
              </w:rPr>
              <w:t>tudents (CRICOS)</w:t>
            </w:r>
          </w:p>
          <w:p w14:paraId="56A1D963"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Approve all Material Change Requests for ASQA</w:t>
            </w:r>
          </w:p>
          <w:p w14:paraId="3032BF6A" w14:textId="6AC4C497" w:rsidR="00921F79" w:rsidRDefault="00921F79" w:rsidP="00921F79">
            <w:pPr>
              <w:spacing w:after="120"/>
              <w:rPr>
                <w:rFonts w:ascii="Calibri" w:eastAsia="Calibri" w:hAnsi="Calibri"/>
                <w:sz w:val="22"/>
                <w:szCs w:val="22"/>
                <w:lang w:eastAsia="en-US"/>
              </w:rPr>
            </w:pPr>
            <w:r w:rsidRPr="00AA77E5">
              <w:rPr>
                <w:rFonts w:ascii="Calibri" w:eastAsia="Calibri" w:hAnsi="Calibri"/>
                <w:sz w:val="22"/>
                <w:szCs w:val="22"/>
                <w:lang w:eastAsia="en-US"/>
              </w:rPr>
              <w:t>Approve all changes to Scope of Registration</w:t>
            </w:r>
            <w:r w:rsidR="001809B1" w:rsidRPr="001809B1">
              <w:rPr>
                <w:rFonts w:ascii="Calibri" w:eastAsia="Calibri" w:hAnsi="Calibri"/>
                <w:sz w:val="22"/>
                <w:szCs w:val="22"/>
                <w:lang w:eastAsia="en-US"/>
              </w:rPr>
              <w:t xml:space="preserve"> or</w:t>
            </w:r>
            <w:r w:rsidR="001809B1">
              <w:rPr>
                <w:rFonts w:ascii="Calibri" w:eastAsia="Calibri" w:hAnsi="Calibri"/>
                <w:sz w:val="22"/>
                <w:szCs w:val="22"/>
                <w:lang w:eastAsia="en-US"/>
              </w:rPr>
              <w:t xml:space="preserve"> delegate such to Executive Director, Education Futures and Students</w:t>
            </w:r>
          </w:p>
          <w:p w14:paraId="696B3A62"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Approve responses to ASQA requests for information and compliance assessments</w:t>
            </w:r>
          </w:p>
          <w:p w14:paraId="028B2512" w14:textId="1EB2A40C" w:rsidR="00921F79" w:rsidRDefault="00921F79" w:rsidP="00921F79">
            <w:pPr>
              <w:spacing w:after="120"/>
              <w:rPr>
                <w:rFonts w:ascii="Calibri" w:eastAsia="Calibri" w:hAnsi="Calibri"/>
                <w:sz w:val="22"/>
                <w:szCs w:val="22"/>
                <w:lang w:eastAsia="en-US"/>
              </w:rPr>
            </w:pPr>
            <w:r w:rsidRPr="5588621F">
              <w:rPr>
                <w:rFonts w:ascii="Calibri" w:eastAsia="Calibri" w:hAnsi="Calibri"/>
                <w:sz w:val="22"/>
                <w:szCs w:val="22"/>
                <w:lang w:eastAsia="en-US"/>
              </w:rPr>
              <w:t xml:space="preserve">Notify relevant committees of </w:t>
            </w:r>
            <w:r w:rsidR="71C4B10C" w:rsidRPr="5588621F">
              <w:rPr>
                <w:rFonts w:ascii="Calibri" w:eastAsia="Calibri" w:hAnsi="Calibri"/>
                <w:sz w:val="22"/>
                <w:szCs w:val="22"/>
                <w:lang w:eastAsia="en-US"/>
              </w:rPr>
              <w:t>relevant compliance related activities</w:t>
            </w:r>
          </w:p>
          <w:p w14:paraId="392C58F1"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Provide an Annual Declaration of Compliance to ASQA</w:t>
            </w:r>
          </w:p>
          <w:p w14:paraId="5E76748A" w14:textId="464C2C09" w:rsidR="00921F79" w:rsidRPr="00921F79" w:rsidRDefault="3CF835D2" w:rsidP="00921F79">
            <w:pPr>
              <w:spacing w:after="120"/>
              <w:rPr>
                <w:rFonts w:ascii="Calibri" w:eastAsia="Calibri" w:hAnsi="Calibri"/>
                <w:sz w:val="22"/>
                <w:szCs w:val="22"/>
                <w:lang w:eastAsia="en-US"/>
              </w:rPr>
            </w:pPr>
            <w:r w:rsidRPr="083E47D9">
              <w:rPr>
                <w:rFonts w:ascii="Calibri" w:eastAsia="Calibri" w:hAnsi="Calibri"/>
                <w:sz w:val="22"/>
                <w:szCs w:val="22"/>
                <w:lang w:eastAsia="en-US"/>
              </w:rPr>
              <w:t>Provide</w:t>
            </w:r>
            <w:r w:rsidR="00921F79" w:rsidRPr="083E47D9">
              <w:rPr>
                <w:rFonts w:ascii="Calibri" w:eastAsia="Calibri" w:hAnsi="Calibri"/>
                <w:sz w:val="22"/>
                <w:szCs w:val="22"/>
                <w:lang w:eastAsia="en-US"/>
              </w:rPr>
              <w:t xml:space="preserve"> the Quality Indicator (QI) Summary to ASQA by 30 June each calendar year for the previous year</w:t>
            </w:r>
          </w:p>
        </w:tc>
      </w:tr>
      <w:tr w:rsidR="00921F79" w14:paraId="25D24AA7" w14:textId="77777777" w:rsidTr="5588621F">
        <w:tc>
          <w:tcPr>
            <w:tcW w:w="2547" w:type="dxa"/>
          </w:tcPr>
          <w:p w14:paraId="1F78EE4E" w14:textId="734240A4" w:rsidR="00921F79" w:rsidRP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Executive Director, Education Futures </w:t>
            </w:r>
            <w:r w:rsidR="00AD12EA">
              <w:rPr>
                <w:rFonts w:ascii="Calibri" w:eastAsia="Calibri" w:hAnsi="Calibri"/>
                <w:sz w:val="22"/>
                <w:szCs w:val="22"/>
                <w:lang w:eastAsia="en-US"/>
              </w:rPr>
              <w:t>and</w:t>
            </w:r>
            <w:r>
              <w:rPr>
                <w:rFonts w:ascii="Calibri" w:eastAsia="Calibri" w:hAnsi="Calibri"/>
                <w:sz w:val="22"/>
                <w:szCs w:val="22"/>
                <w:lang w:eastAsia="en-US"/>
              </w:rPr>
              <w:t xml:space="preserve"> Students</w:t>
            </w:r>
          </w:p>
        </w:tc>
        <w:tc>
          <w:tcPr>
            <w:tcW w:w="6825" w:type="dxa"/>
          </w:tcPr>
          <w:p w14:paraId="1A72EA92" w14:textId="77777777"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Act as Accountable Executive for CRICOS Registration</w:t>
            </w:r>
          </w:p>
          <w:p w14:paraId="3E7A71CD" w14:textId="4FB6B895" w:rsidR="000621C6" w:rsidRPr="00921F79" w:rsidRDefault="3688CD04" w:rsidP="5588621F">
            <w:pPr>
              <w:spacing w:after="120"/>
              <w:rPr>
                <w:rFonts w:ascii="Calibri" w:eastAsia="Calibri" w:hAnsi="Calibri"/>
                <w:sz w:val="22"/>
                <w:szCs w:val="22"/>
                <w:lang w:eastAsia="en-US"/>
              </w:rPr>
            </w:pPr>
            <w:r w:rsidRPr="5588621F">
              <w:rPr>
                <w:rFonts w:ascii="Calibri" w:eastAsia="Calibri" w:hAnsi="Calibri"/>
                <w:sz w:val="22"/>
                <w:szCs w:val="22"/>
                <w:lang w:eastAsia="en-US"/>
              </w:rPr>
              <w:t>Approve</w:t>
            </w:r>
            <w:r w:rsidR="000621C6" w:rsidRPr="5588621F">
              <w:rPr>
                <w:rFonts w:ascii="Calibri" w:eastAsia="Calibri" w:hAnsi="Calibri"/>
                <w:sz w:val="22"/>
                <w:szCs w:val="22"/>
                <w:lang w:eastAsia="en-US"/>
              </w:rPr>
              <w:t xml:space="preserve"> all changes to Scope of Registration</w:t>
            </w:r>
            <w:r w:rsidR="0A8694C5" w:rsidRPr="5588621F">
              <w:rPr>
                <w:rFonts w:ascii="Calibri" w:eastAsia="Calibri" w:hAnsi="Calibri"/>
                <w:sz w:val="22"/>
                <w:szCs w:val="22"/>
                <w:lang w:eastAsia="en-US"/>
              </w:rPr>
              <w:t xml:space="preserve"> on ASQA forms</w:t>
            </w:r>
          </w:p>
          <w:p w14:paraId="7D5AF768" w14:textId="333E37E8" w:rsidR="000621C6" w:rsidRPr="00921F79" w:rsidRDefault="0F37D6B5" w:rsidP="5588621F">
            <w:pPr>
              <w:spacing w:after="120"/>
              <w:rPr>
                <w:rFonts w:ascii="Calibri" w:eastAsia="Calibri" w:hAnsi="Calibri"/>
                <w:sz w:val="22"/>
                <w:szCs w:val="22"/>
                <w:lang w:eastAsia="en-US"/>
              </w:rPr>
            </w:pPr>
            <w:r w:rsidRPr="5588621F">
              <w:rPr>
                <w:rFonts w:ascii="Calibri" w:eastAsia="Calibri" w:hAnsi="Calibri"/>
                <w:sz w:val="22"/>
                <w:szCs w:val="22"/>
                <w:lang w:eastAsia="en-US"/>
              </w:rPr>
              <w:t>Act as Delegate for the purposes of the ASQA Delegation of Scope Agreement</w:t>
            </w:r>
          </w:p>
        </w:tc>
      </w:tr>
      <w:tr w:rsidR="00921F79" w14:paraId="62BE58B2" w14:textId="77777777" w:rsidTr="5588621F">
        <w:tc>
          <w:tcPr>
            <w:tcW w:w="2547" w:type="dxa"/>
          </w:tcPr>
          <w:p w14:paraId="1E9CB139" w14:textId="2FD40046" w:rsidR="00921F79" w:rsidRDefault="00052883" w:rsidP="00921F79">
            <w:pPr>
              <w:spacing w:after="120"/>
              <w:rPr>
                <w:rFonts w:ascii="Calibri" w:eastAsia="Calibri" w:hAnsi="Calibri"/>
                <w:sz w:val="22"/>
                <w:szCs w:val="22"/>
                <w:lang w:eastAsia="en-US"/>
              </w:rPr>
            </w:pPr>
            <w:r>
              <w:rPr>
                <w:rFonts w:ascii="Calibri" w:eastAsia="Calibri" w:hAnsi="Calibri"/>
                <w:sz w:val="22"/>
                <w:szCs w:val="22"/>
                <w:lang w:eastAsia="en-US"/>
              </w:rPr>
              <w:t>Executive Branch Manager</w:t>
            </w:r>
            <w:r w:rsidR="00921F79">
              <w:rPr>
                <w:rFonts w:ascii="Calibri" w:eastAsia="Calibri" w:hAnsi="Calibri"/>
                <w:sz w:val="22"/>
                <w:szCs w:val="22"/>
                <w:lang w:eastAsia="en-US"/>
              </w:rPr>
              <w:t xml:space="preserve">, Audit, Risk </w:t>
            </w:r>
            <w:r w:rsidR="00AD12EA">
              <w:rPr>
                <w:rFonts w:ascii="Calibri" w:eastAsia="Calibri" w:hAnsi="Calibri"/>
                <w:sz w:val="22"/>
                <w:szCs w:val="22"/>
                <w:lang w:eastAsia="en-US"/>
              </w:rPr>
              <w:t>and</w:t>
            </w:r>
            <w:r w:rsidR="00921F79">
              <w:rPr>
                <w:rFonts w:ascii="Calibri" w:eastAsia="Calibri" w:hAnsi="Calibri"/>
                <w:sz w:val="22"/>
                <w:szCs w:val="22"/>
                <w:lang w:eastAsia="en-US"/>
              </w:rPr>
              <w:t xml:space="preserve"> Corporate Governance</w:t>
            </w:r>
          </w:p>
        </w:tc>
        <w:tc>
          <w:tcPr>
            <w:tcW w:w="6825" w:type="dxa"/>
          </w:tcPr>
          <w:p w14:paraId="0E1F8206" w14:textId="6D5852FF" w:rsidR="00921F79" w:rsidRDefault="00921F79"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Support the Accountable Executive for ASQA Annual Declaration of Compliance and </w:t>
            </w:r>
            <w:r w:rsidR="00525DFA">
              <w:rPr>
                <w:rFonts w:ascii="Calibri" w:eastAsia="Calibri" w:hAnsi="Calibri"/>
                <w:sz w:val="22"/>
                <w:szCs w:val="22"/>
                <w:lang w:eastAsia="en-US"/>
              </w:rPr>
              <w:t>Delegation of Scope Review, and registration renewals for both RTO and CRICOS registrations</w:t>
            </w:r>
            <w:r w:rsidR="00DB02E5">
              <w:rPr>
                <w:rFonts w:ascii="Calibri" w:eastAsia="Calibri" w:hAnsi="Calibri"/>
                <w:sz w:val="22"/>
                <w:szCs w:val="22"/>
                <w:lang w:eastAsia="en-US"/>
              </w:rPr>
              <w:t>.</w:t>
            </w:r>
          </w:p>
          <w:p w14:paraId="69CBD41A" w14:textId="77777777" w:rsidR="003D1A8F" w:rsidRDefault="003D1A8F" w:rsidP="003D1A8F">
            <w:pPr>
              <w:spacing w:after="120"/>
              <w:rPr>
                <w:rFonts w:ascii="Calibri" w:eastAsia="Calibri" w:hAnsi="Calibri"/>
                <w:sz w:val="22"/>
                <w:szCs w:val="22"/>
                <w:lang w:eastAsia="en-US"/>
              </w:rPr>
            </w:pPr>
            <w:r>
              <w:rPr>
                <w:rFonts w:ascii="Calibri" w:eastAsia="Calibri" w:hAnsi="Calibri"/>
                <w:sz w:val="22"/>
                <w:szCs w:val="22"/>
                <w:lang w:eastAsia="en-US"/>
              </w:rPr>
              <w:t>Coordinate the following activities and maintain records:</w:t>
            </w:r>
          </w:p>
          <w:p w14:paraId="4B94E4ED" w14:textId="77777777" w:rsidR="003D1A8F" w:rsidRDefault="003D1A8F" w:rsidP="00645CEB">
            <w:pPr>
              <w:pStyle w:val="ListParagraph"/>
              <w:numPr>
                <w:ilvl w:val="0"/>
                <w:numId w:val="2"/>
              </w:numPr>
              <w:spacing w:after="120"/>
            </w:pPr>
            <w:r>
              <w:t>Annual Declaration of Compliance to ASQA</w:t>
            </w:r>
          </w:p>
          <w:p w14:paraId="1CFA5458" w14:textId="77777777" w:rsidR="003D1A8F" w:rsidRDefault="003D1A8F" w:rsidP="00645CEB">
            <w:pPr>
              <w:pStyle w:val="ListParagraph"/>
              <w:numPr>
                <w:ilvl w:val="0"/>
                <w:numId w:val="2"/>
              </w:numPr>
              <w:spacing w:after="120"/>
            </w:pPr>
            <w:r>
              <w:t>Annual Delegation of Scope Review</w:t>
            </w:r>
          </w:p>
          <w:p w14:paraId="1142C9CD" w14:textId="731B5697" w:rsidR="003D1A8F" w:rsidRDefault="003D1A8F" w:rsidP="00645CEB">
            <w:pPr>
              <w:pStyle w:val="ListParagraph"/>
              <w:numPr>
                <w:ilvl w:val="0"/>
                <w:numId w:val="2"/>
              </w:numPr>
              <w:spacing w:after="120"/>
            </w:pPr>
            <w:r>
              <w:t xml:space="preserve">Registration renewal </w:t>
            </w:r>
          </w:p>
          <w:p w14:paraId="43712F36" w14:textId="77777777" w:rsidR="000621C6" w:rsidRDefault="000621C6" w:rsidP="00645CEB">
            <w:pPr>
              <w:pStyle w:val="ListParagraph"/>
              <w:numPr>
                <w:ilvl w:val="0"/>
                <w:numId w:val="2"/>
              </w:numPr>
              <w:spacing w:after="120"/>
            </w:pPr>
            <w:r>
              <w:t>Fit and Proper Persons declarations</w:t>
            </w:r>
          </w:p>
          <w:p w14:paraId="4D577F47" w14:textId="77777777" w:rsidR="0039472E" w:rsidRDefault="0039472E" w:rsidP="00645CEB">
            <w:pPr>
              <w:pStyle w:val="ListParagraph"/>
              <w:numPr>
                <w:ilvl w:val="0"/>
                <w:numId w:val="2"/>
              </w:numPr>
              <w:spacing w:after="120"/>
            </w:pPr>
            <w:r>
              <w:t>Management of complaints</w:t>
            </w:r>
          </w:p>
          <w:p w14:paraId="2251BE96" w14:textId="77777777" w:rsidR="0039472E" w:rsidRDefault="0039472E" w:rsidP="00645CEB">
            <w:pPr>
              <w:pStyle w:val="ListParagraph"/>
              <w:numPr>
                <w:ilvl w:val="0"/>
                <w:numId w:val="2"/>
              </w:numPr>
              <w:spacing w:after="120"/>
            </w:pPr>
            <w:r>
              <w:t>Material Change Notifications (MCNs)</w:t>
            </w:r>
          </w:p>
          <w:p w14:paraId="2FEB01B6" w14:textId="77777777" w:rsidR="0039472E" w:rsidRDefault="5848E8F7" w:rsidP="00B52DA4">
            <w:pPr>
              <w:pStyle w:val="ListParagraph"/>
              <w:numPr>
                <w:ilvl w:val="0"/>
                <w:numId w:val="2"/>
              </w:numPr>
              <w:spacing w:after="120"/>
            </w:pPr>
            <w:r>
              <w:t>Third party agreements for Training and Assessment providers</w:t>
            </w:r>
          </w:p>
          <w:p w14:paraId="025D1FD0" w14:textId="77777777" w:rsidR="00BF636A" w:rsidRDefault="00BF636A" w:rsidP="00B52DA4">
            <w:pPr>
              <w:pStyle w:val="ListParagraph"/>
              <w:numPr>
                <w:ilvl w:val="0"/>
                <w:numId w:val="2"/>
              </w:numPr>
              <w:spacing w:after="120"/>
            </w:pPr>
            <w:r>
              <w:t>Continuous Improvement register</w:t>
            </w:r>
          </w:p>
          <w:p w14:paraId="7C479F7C" w14:textId="1A27E1CD" w:rsidR="00BF636A" w:rsidRPr="003D1A8F" w:rsidRDefault="00BF636A" w:rsidP="00B52DA4">
            <w:pPr>
              <w:pStyle w:val="ListParagraph"/>
              <w:numPr>
                <w:ilvl w:val="0"/>
                <w:numId w:val="2"/>
              </w:numPr>
              <w:spacing w:after="120"/>
            </w:pPr>
            <w:r>
              <w:t>Academic Priority Risk Schedule</w:t>
            </w:r>
          </w:p>
        </w:tc>
      </w:tr>
      <w:tr w:rsidR="083E47D9" w14:paraId="7F6CB57C" w14:textId="77777777" w:rsidTr="5588621F">
        <w:trPr>
          <w:trHeight w:val="300"/>
        </w:trPr>
        <w:tc>
          <w:tcPr>
            <w:tcW w:w="2547" w:type="dxa"/>
          </w:tcPr>
          <w:p w14:paraId="56D63014" w14:textId="3FF40525" w:rsidR="15B8078A" w:rsidRDefault="15B8078A" w:rsidP="083E47D9">
            <w:pPr>
              <w:rPr>
                <w:rFonts w:ascii="Calibri" w:eastAsia="Calibri" w:hAnsi="Calibri"/>
                <w:sz w:val="22"/>
                <w:szCs w:val="22"/>
                <w:lang w:eastAsia="en-US"/>
              </w:rPr>
            </w:pPr>
            <w:r w:rsidRPr="083E47D9">
              <w:rPr>
                <w:rFonts w:ascii="Calibri" w:eastAsia="Calibri" w:hAnsi="Calibri"/>
                <w:sz w:val="22"/>
                <w:szCs w:val="22"/>
                <w:lang w:eastAsia="en-US"/>
              </w:rPr>
              <w:t>Student Experience Lead</w:t>
            </w:r>
          </w:p>
        </w:tc>
        <w:tc>
          <w:tcPr>
            <w:tcW w:w="6825" w:type="dxa"/>
          </w:tcPr>
          <w:p w14:paraId="6FC4938F" w14:textId="77777777" w:rsidR="083E47D9" w:rsidRDefault="002E4BDF" w:rsidP="00B52DA4">
            <w:pPr>
              <w:spacing w:after="120"/>
              <w:rPr>
                <w:rFonts w:ascii="Calibri" w:eastAsia="Calibri" w:hAnsi="Calibri"/>
                <w:sz w:val="22"/>
                <w:szCs w:val="22"/>
                <w:lang w:eastAsia="en-US"/>
              </w:rPr>
            </w:pPr>
            <w:r>
              <w:rPr>
                <w:rFonts w:ascii="Calibri" w:eastAsia="Calibri" w:hAnsi="Calibri"/>
                <w:sz w:val="22"/>
                <w:szCs w:val="22"/>
                <w:lang w:eastAsia="en-US"/>
              </w:rPr>
              <w:t>Coordinate additions and deletion of training products to the scope of registration</w:t>
            </w:r>
          </w:p>
          <w:p w14:paraId="751B15DD" w14:textId="77777777" w:rsidR="002E4BDF" w:rsidRDefault="002E4BDF" w:rsidP="00B52DA4">
            <w:pPr>
              <w:spacing w:after="120"/>
              <w:rPr>
                <w:rFonts w:ascii="Calibri" w:eastAsia="Calibri" w:hAnsi="Calibri"/>
                <w:sz w:val="22"/>
                <w:szCs w:val="22"/>
                <w:lang w:eastAsia="en-US"/>
              </w:rPr>
            </w:pPr>
            <w:r>
              <w:rPr>
                <w:rFonts w:ascii="Calibri" w:eastAsia="Calibri" w:hAnsi="Calibri"/>
                <w:sz w:val="22"/>
                <w:szCs w:val="22"/>
                <w:lang w:eastAsia="en-US"/>
              </w:rPr>
              <w:t>Regularly audit scope of registration to ensure ongoing compliance</w:t>
            </w:r>
          </w:p>
          <w:p w14:paraId="31A832D1" w14:textId="09AC28DA" w:rsidR="00BF636A" w:rsidRDefault="00BF636A" w:rsidP="00B52DA4">
            <w:pPr>
              <w:spacing w:after="120"/>
              <w:rPr>
                <w:rFonts w:ascii="Calibri" w:eastAsia="Calibri" w:hAnsi="Calibri"/>
                <w:sz w:val="22"/>
                <w:szCs w:val="22"/>
                <w:lang w:eastAsia="en-US"/>
              </w:rPr>
            </w:pPr>
            <w:r w:rsidRPr="006A49A6">
              <w:rPr>
                <w:rFonts w:ascii="Calibri" w:eastAsia="Calibri" w:hAnsi="Calibri"/>
                <w:sz w:val="22"/>
                <w:szCs w:val="22"/>
                <w:lang w:eastAsia="en-US"/>
              </w:rPr>
              <w:t>Maintaining and monitoring effective academic policies and procedures</w:t>
            </w:r>
          </w:p>
        </w:tc>
      </w:tr>
      <w:tr w:rsidR="00AD12EA" w14:paraId="2127F3B6" w14:textId="77777777" w:rsidTr="5588621F">
        <w:trPr>
          <w:trHeight w:val="300"/>
        </w:trPr>
        <w:tc>
          <w:tcPr>
            <w:tcW w:w="2547" w:type="dxa"/>
          </w:tcPr>
          <w:p w14:paraId="4167362A" w14:textId="15263F15" w:rsidR="00AD12EA" w:rsidRPr="083E47D9" w:rsidRDefault="00AD12EA" w:rsidP="083E47D9">
            <w:pPr>
              <w:rPr>
                <w:rFonts w:ascii="Calibri" w:eastAsia="Calibri" w:hAnsi="Calibri"/>
                <w:sz w:val="22"/>
                <w:szCs w:val="22"/>
                <w:lang w:eastAsia="en-US"/>
              </w:rPr>
            </w:pPr>
            <w:r>
              <w:rPr>
                <w:rFonts w:ascii="Calibri" w:eastAsia="Calibri" w:hAnsi="Calibri"/>
                <w:sz w:val="22"/>
                <w:szCs w:val="22"/>
                <w:lang w:eastAsia="en-US"/>
              </w:rPr>
              <w:t>Education Design and Delivery Lead</w:t>
            </w:r>
          </w:p>
        </w:tc>
        <w:tc>
          <w:tcPr>
            <w:tcW w:w="6825" w:type="dxa"/>
          </w:tcPr>
          <w:p w14:paraId="4CFF85D6" w14:textId="77777777" w:rsidR="00AD12EA" w:rsidRDefault="00AD12EA" w:rsidP="00F375C5">
            <w:pPr>
              <w:spacing w:after="120"/>
              <w:rPr>
                <w:rFonts w:ascii="Calibri" w:eastAsia="Calibri" w:hAnsi="Calibri"/>
                <w:sz w:val="22"/>
                <w:szCs w:val="22"/>
                <w:lang w:eastAsia="en-US"/>
              </w:rPr>
            </w:pPr>
            <w:r>
              <w:rPr>
                <w:rFonts w:ascii="Calibri" w:eastAsia="Calibri" w:hAnsi="Calibri"/>
                <w:sz w:val="22"/>
                <w:szCs w:val="22"/>
                <w:lang w:eastAsia="en-US"/>
              </w:rPr>
              <w:t>Coordinate the following activities and maintain appropriate records:</w:t>
            </w:r>
          </w:p>
          <w:p w14:paraId="2EBC1751" w14:textId="77777777" w:rsidR="00AD12EA" w:rsidRDefault="00AD12EA" w:rsidP="00AD12EA">
            <w:pPr>
              <w:pStyle w:val="ListParagraph"/>
              <w:numPr>
                <w:ilvl w:val="0"/>
                <w:numId w:val="2"/>
              </w:numPr>
              <w:spacing w:after="120"/>
            </w:pPr>
            <w:r>
              <w:t>Training and Assessment Strategies development, review and approval</w:t>
            </w:r>
          </w:p>
          <w:p w14:paraId="7B9BE105" w14:textId="5C415ECB" w:rsidR="00AD12EA" w:rsidRPr="00AD12EA" w:rsidRDefault="00AD12EA" w:rsidP="00B52DA4">
            <w:pPr>
              <w:pStyle w:val="ListParagraph"/>
              <w:numPr>
                <w:ilvl w:val="0"/>
                <w:numId w:val="2"/>
              </w:numPr>
              <w:spacing w:after="120"/>
            </w:pPr>
            <w:r>
              <w:t>Communicate changes and their impacts relating to the above</w:t>
            </w:r>
          </w:p>
          <w:p w14:paraId="2F95CEB6" w14:textId="15852302" w:rsidR="00BF636A" w:rsidRPr="00AD12EA" w:rsidRDefault="7B944899" w:rsidP="007F790C">
            <w:pPr>
              <w:pStyle w:val="ListParagraph"/>
              <w:numPr>
                <w:ilvl w:val="0"/>
                <w:numId w:val="2"/>
              </w:numPr>
              <w:spacing w:after="120"/>
            </w:pPr>
            <w:r w:rsidRPr="5588621F">
              <w:t>Self-assurance/continuous improvement activities relating relevant to their portfolio</w:t>
            </w:r>
          </w:p>
        </w:tc>
      </w:tr>
      <w:tr w:rsidR="002E4BDF" w14:paraId="19E42111" w14:textId="77777777" w:rsidTr="5588621F">
        <w:tc>
          <w:tcPr>
            <w:tcW w:w="2547" w:type="dxa"/>
          </w:tcPr>
          <w:p w14:paraId="5C661CAF" w14:textId="6836156C" w:rsidR="002E4BDF" w:rsidRDefault="002E4BDF" w:rsidP="00921F79">
            <w:pPr>
              <w:spacing w:after="120"/>
              <w:rPr>
                <w:rFonts w:ascii="Calibri" w:eastAsia="Calibri" w:hAnsi="Calibri"/>
                <w:sz w:val="22"/>
                <w:szCs w:val="22"/>
                <w:lang w:eastAsia="en-US"/>
              </w:rPr>
            </w:pPr>
            <w:r>
              <w:rPr>
                <w:rFonts w:ascii="Calibri" w:eastAsia="Calibri" w:hAnsi="Calibri"/>
                <w:sz w:val="22"/>
                <w:szCs w:val="22"/>
                <w:lang w:eastAsia="en-US"/>
              </w:rPr>
              <w:t>College Director</w:t>
            </w:r>
            <w:r w:rsidR="00916C6C">
              <w:rPr>
                <w:rFonts w:ascii="Calibri" w:eastAsia="Calibri" w:hAnsi="Calibri"/>
                <w:sz w:val="22"/>
                <w:szCs w:val="22"/>
                <w:lang w:eastAsia="en-US"/>
              </w:rPr>
              <w:t>(s)</w:t>
            </w:r>
          </w:p>
        </w:tc>
        <w:tc>
          <w:tcPr>
            <w:tcW w:w="6825" w:type="dxa"/>
          </w:tcPr>
          <w:p w14:paraId="54674C3A" w14:textId="3C19E536" w:rsidR="002E4BDF" w:rsidRPr="5FDE23C1" w:rsidRDefault="002E4BDF" w:rsidP="00921F79">
            <w:pPr>
              <w:spacing w:after="120"/>
              <w:rPr>
                <w:rFonts w:ascii="Calibri" w:eastAsia="Calibri" w:hAnsi="Calibri"/>
                <w:sz w:val="22"/>
                <w:szCs w:val="22"/>
                <w:lang w:eastAsia="en-US"/>
              </w:rPr>
            </w:pPr>
            <w:r w:rsidRPr="5588621F">
              <w:rPr>
                <w:rFonts w:ascii="Calibri" w:eastAsia="Calibri" w:hAnsi="Calibri"/>
                <w:sz w:val="22"/>
                <w:szCs w:val="22"/>
                <w:lang w:eastAsia="en-US"/>
              </w:rPr>
              <w:t>Ensure evidence of compliance is maintained by each Department within their remit</w:t>
            </w:r>
          </w:p>
        </w:tc>
      </w:tr>
      <w:tr w:rsidR="00275943" w14:paraId="5B3D55E9" w14:textId="77777777" w:rsidTr="5588621F">
        <w:tc>
          <w:tcPr>
            <w:tcW w:w="2547" w:type="dxa"/>
          </w:tcPr>
          <w:p w14:paraId="15C3D209" w14:textId="7E16E611" w:rsidR="00275943" w:rsidRDefault="00275943"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Manager, Awards </w:t>
            </w:r>
            <w:r w:rsidR="00AD12EA">
              <w:rPr>
                <w:rFonts w:ascii="Calibri" w:eastAsia="Calibri" w:hAnsi="Calibri"/>
                <w:sz w:val="22"/>
                <w:szCs w:val="22"/>
                <w:lang w:eastAsia="en-US"/>
              </w:rPr>
              <w:t>and</w:t>
            </w:r>
            <w:r>
              <w:rPr>
                <w:rFonts w:ascii="Calibri" w:eastAsia="Calibri" w:hAnsi="Calibri"/>
                <w:sz w:val="22"/>
                <w:szCs w:val="22"/>
                <w:lang w:eastAsia="en-US"/>
              </w:rPr>
              <w:t xml:space="preserve"> Programs</w:t>
            </w:r>
          </w:p>
        </w:tc>
        <w:tc>
          <w:tcPr>
            <w:tcW w:w="6825" w:type="dxa"/>
          </w:tcPr>
          <w:p w14:paraId="21D6A553" w14:textId="6C575037" w:rsidR="00275943" w:rsidRDefault="00275943" w:rsidP="00921F79">
            <w:pPr>
              <w:spacing w:after="120"/>
              <w:rPr>
                <w:rFonts w:ascii="Calibri" w:eastAsia="Calibri" w:hAnsi="Calibri"/>
                <w:sz w:val="22"/>
                <w:szCs w:val="22"/>
                <w:lang w:eastAsia="en-US"/>
              </w:rPr>
            </w:pPr>
            <w:r w:rsidRPr="5FDE23C1">
              <w:rPr>
                <w:rFonts w:ascii="Calibri" w:eastAsia="Calibri" w:hAnsi="Calibri"/>
                <w:sz w:val="22"/>
                <w:szCs w:val="22"/>
                <w:lang w:eastAsia="en-US"/>
              </w:rPr>
              <w:t xml:space="preserve">Coordinate the following activities and maintain </w:t>
            </w:r>
            <w:r w:rsidR="5C0915CA" w:rsidRPr="5FDE23C1">
              <w:rPr>
                <w:rFonts w:ascii="Calibri" w:eastAsia="Calibri" w:hAnsi="Calibri"/>
                <w:sz w:val="22"/>
                <w:szCs w:val="22"/>
                <w:lang w:eastAsia="en-US"/>
              </w:rPr>
              <w:t xml:space="preserve">appropriate </w:t>
            </w:r>
            <w:r w:rsidRPr="5FDE23C1">
              <w:rPr>
                <w:rFonts w:ascii="Calibri" w:eastAsia="Calibri" w:hAnsi="Calibri"/>
                <w:sz w:val="22"/>
                <w:szCs w:val="22"/>
                <w:lang w:eastAsia="en-US"/>
              </w:rPr>
              <w:t>records:</w:t>
            </w:r>
          </w:p>
          <w:p w14:paraId="70E49B00" w14:textId="4F85088B" w:rsidR="00052883" w:rsidRDefault="00052883" w:rsidP="00645CEB">
            <w:pPr>
              <w:pStyle w:val="ListParagraph"/>
              <w:numPr>
                <w:ilvl w:val="0"/>
                <w:numId w:val="3"/>
              </w:numPr>
              <w:spacing w:after="120"/>
            </w:pPr>
            <w:r>
              <w:t>Scope of Registration</w:t>
            </w:r>
            <w:r w:rsidR="2E306265">
              <w:t xml:space="preserve"> changes including addition, amendment and deletion</w:t>
            </w:r>
          </w:p>
          <w:p w14:paraId="0D7FD702" w14:textId="761A2320" w:rsidR="003D1A8F" w:rsidRPr="00275943" w:rsidRDefault="00AD12EA" w:rsidP="00645CEB">
            <w:pPr>
              <w:pStyle w:val="ListParagraph"/>
              <w:numPr>
                <w:ilvl w:val="0"/>
                <w:numId w:val="3"/>
              </w:numPr>
              <w:spacing w:after="120"/>
            </w:pPr>
            <w:r>
              <w:t xml:space="preserve">ASQA </w:t>
            </w:r>
            <w:r w:rsidR="003D1A8F">
              <w:t>Requests for Information</w:t>
            </w:r>
          </w:p>
          <w:p w14:paraId="6B29DCBF" w14:textId="77777777" w:rsidR="003D1A8F" w:rsidRDefault="4CA6D1AD" w:rsidP="00645CEB">
            <w:pPr>
              <w:pStyle w:val="ListParagraph"/>
              <w:numPr>
                <w:ilvl w:val="0"/>
                <w:numId w:val="3"/>
              </w:numPr>
              <w:spacing w:after="120"/>
            </w:pPr>
            <w:r w:rsidRPr="4EC1F082">
              <w:t>Minor updates to registration details (i.e. enquiries, email, phone)</w:t>
            </w:r>
          </w:p>
          <w:p w14:paraId="145D52C7" w14:textId="448A98B1" w:rsidR="002E4BDF" w:rsidRPr="00275943" w:rsidRDefault="002E4BDF" w:rsidP="00645CEB">
            <w:pPr>
              <w:pStyle w:val="ListParagraph"/>
              <w:numPr>
                <w:ilvl w:val="0"/>
                <w:numId w:val="3"/>
              </w:numPr>
              <w:spacing w:after="120"/>
            </w:pPr>
            <w:r>
              <w:t>Submission of changes to scope of registration</w:t>
            </w:r>
            <w:r w:rsidR="48B05AA4">
              <w:t xml:space="preserve"> to </w:t>
            </w:r>
            <w:proofErr w:type="spellStart"/>
            <w:r w:rsidR="48B05AA4">
              <w:t>ASQANet</w:t>
            </w:r>
            <w:proofErr w:type="spellEnd"/>
            <w:r>
              <w:t xml:space="preserve"> on behalf of the Student Experience Lead</w:t>
            </w:r>
          </w:p>
        </w:tc>
      </w:tr>
      <w:tr w:rsidR="00275943" w14:paraId="4736A76F" w14:textId="77777777" w:rsidTr="5588621F">
        <w:tc>
          <w:tcPr>
            <w:tcW w:w="2547" w:type="dxa"/>
          </w:tcPr>
          <w:p w14:paraId="476DA7EC" w14:textId="211397BB" w:rsidR="00275943" w:rsidRDefault="00275943" w:rsidP="00921F79">
            <w:pPr>
              <w:spacing w:after="120"/>
              <w:rPr>
                <w:rFonts w:ascii="Calibri" w:eastAsia="Calibri" w:hAnsi="Calibri"/>
                <w:sz w:val="22"/>
                <w:szCs w:val="22"/>
                <w:lang w:eastAsia="en-US"/>
              </w:rPr>
            </w:pPr>
            <w:r>
              <w:rPr>
                <w:rFonts w:ascii="Calibri" w:eastAsia="Calibri" w:hAnsi="Calibri"/>
                <w:sz w:val="22"/>
                <w:szCs w:val="22"/>
                <w:lang w:eastAsia="en-US"/>
              </w:rPr>
              <w:t>Director, Governance</w:t>
            </w:r>
          </w:p>
        </w:tc>
        <w:tc>
          <w:tcPr>
            <w:tcW w:w="6825" w:type="dxa"/>
          </w:tcPr>
          <w:p w14:paraId="54CFE951" w14:textId="0A9E3A45" w:rsidR="00275943" w:rsidRDefault="00052883"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Coordinate the </w:t>
            </w:r>
            <w:r w:rsidR="00525DFA">
              <w:rPr>
                <w:rFonts w:ascii="Calibri" w:eastAsia="Calibri" w:hAnsi="Calibri"/>
                <w:sz w:val="22"/>
                <w:szCs w:val="22"/>
                <w:lang w:eastAsia="en-US"/>
              </w:rPr>
              <w:t>compilation</w:t>
            </w:r>
            <w:r>
              <w:rPr>
                <w:rFonts w:ascii="Calibri" w:eastAsia="Calibri" w:hAnsi="Calibri"/>
                <w:sz w:val="22"/>
                <w:szCs w:val="22"/>
                <w:lang w:eastAsia="en-US"/>
              </w:rPr>
              <w:t xml:space="preserve"> of the ASQA Fit and Proper Person Declarations for </w:t>
            </w:r>
            <w:r w:rsidR="0039472E">
              <w:rPr>
                <w:rFonts w:ascii="Calibri" w:eastAsia="Calibri" w:hAnsi="Calibri"/>
                <w:sz w:val="22"/>
                <w:szCs w:val="22"/>
                <w:lang w:eastAsia="en-US"/>
              </w:rPr>
              <w:t xml:space="preserve">Board </w:t>
            </w:r>
            <w:r>
              <w:rPr>
                <w:rFonts w:ascii="Calibri" w:eastAsia="Calibri" w:hAnsi="Calibri"/>
                <w:sz w:val="22"/>
                <w:szCs w:val="22"/>
                <w:lang w:eastAsia="en-US"/>
              </w:rPr>
              <w:t>member</w:t>
            </w:r>
            <w:r w:rsidR="0039472E">
              <w:rPr>
                <w:rFonts w:ascii="Calibri" w:eastAsia="Calibri" w:hAnsi="Calibri"/>
                <w:sz w:val="22"/>
                <w:szCs w:val="22"/>
                <w:lang w:eastAsia="en-US"/>
              </w:rPr>
              <w:t>s</w:t>
            </w:r>
            <w:r>
              <w:rPr>
                <w:rFonts w:ascii="Calibri" w:eastAsia="Calibri" w:hAnsi="Calibri"/>
                <w:sz w:val="22"/>
                <w:szCs w:val="22"/>
                <w:lang w:eastAsia="en-US"/>
              </w:rPr>
              <w:t xml:space="preserve"> upon initial appointment</w:t>
            </w:r>
            <w:r w:rsidR="79A83A30" w:rsidRPr="4EC1F082">
              <w:rPr>
                <w:rFonts w:ascii="Calibri" w:eastAsia="Calibri" w:hAnsi="Calibri"/>
                <w:sz w:val="22"/>
                <w:szCs w:val="22"/>
                <w:lang w:eastAsia="en-US"/>
              </w:rPr>
              <w:t xml:space="preserve"> and in preparation for a registration renewal application</w:t>
            </w:r>
          </w:p>
        </w:tc>
      </w:tr>
      <w:tr w:rsidR="4EC1F082" w14:paraId="6ADF3CEF" w14:textId="77777777" w:rsidTr="5588621F">
        <w:trPr>
          <w:trHeight w:val="300"/>
        </w:trPr>
        <w:tc>
          <w:tcPr>
            <w:tcW w:w="2547" w:type="dxa"/>
          </w:tcPr>
          <w:p w14:paraId="00694BAB" w14:textId="6E67123A" w:rsidR="79A83A30" w:rsidRDefault="79A83A30" w:rsidP="4EC1F082">
            <w:pPr>
              <w:rPr>
                <w:rFonts w:ascii="Calibri" w:eastAsia="Calibri" w:hAnsi="Calibri"/>
                <w:sz w:val="22"/>
                <w:szCs w:val="22"/>
                <w:lang w:eastAsia="en-US"/>
              </w:rPr>
            </w:pPr>
            <w:r w:rsidRPr="4EC1F082">
              <w:rPr>
                <w:rFonts w:ascii="Calibri" w:eastAsia="Calibri" w:hAnsi="Calibri"/>
                <w:sz w:val="22"/>
                <w:szCs w:val="22"/>
                <w:lang w:eastAsia="en-US"/>
              </w:rPr>
              <w:t>International Student Operations</w:t>
            </w:r>
          </w:p>
        </w:tc>
        <w:tc>
          <w:tcPr>
            <w:tcW w:w="6825" w:type="dxa"/>
          </w:tcPr>
          <w:p w14:paraId="3C9B5F52" w14:textId="77777777" w:rsidR="79A83A30" w:rsidRDefault="79A83A30" w:rsidP="4EC1F082">
            <w:pPr>
              <w:rPr>
                <w:rFonts w:ascii="Calibri" w:eastAsia="Calibri" w:hAnsi="Calibri"/>
                <w:sz w:val="22"/>
                <w:szCs w:val="22"/>
                <w:lang w:eastAsia="en-US"/>
              </w:rPr>
            </w:pPr>
            <w:r w:rsidRPr="083E47D9">
              <w:rPr>
                <w:rFonts w:ascii="Calibri" w:eastAsia="Calibri" w:hAnsi="Calibri"/>
                <w:sz w:val="22"/>
                <w:szCs w:val="22"/>
                <w:lang w:eastAsia="en-US"/>
              </w:rPr>
              <w:t xml:space="preserve">Coordinate and maintain appropriate records for the registration of </w:t>
            </w:r>
            <w:r w:rsidR="1D7ADA48" w:rsidRPr="083E47D9">
              <w:rPr>
                <w:rFonts w:ascii="Calibri" w:eastAsia="Calibri" w:hAnsi="Calibri"/>
                <w:sz w:val="22"/>
                <w:szCs w:val="22"/>
                <w:lang w:eastAsia="en-US"/>
              </w:rPr>
              <w:t xml:space="preserve">recruitment agents as </w:t>
            </w:r>
            <w:r w:rsidRPr="083E47D9">
              <w:rPr>
                <w:rFonts w:ascii="Calibri" w:eastAsia="Calibri" w:hAnsi="Calibri"/>
                <w:sz w:val="22"/>
                <w:szCs w:val="22"/>
                <w:lang w:eastAsia="en-US"/>
              </w:rPr>
              <w:t xml:space="preserve">third parties in </w:t>
            </w:r>
            <w:proofErr w:type="spellStart"/>
            <w:r w:rsidRPr="083E47D9">
              <w:rPr>
                <w:rFonts w:ascii="Calibri" w:eastAsia="Calibri" w:hAnsi="Calibri"/>
                <w:sz w:val="22"/>
                <w:szCs w:val="22"/>
                <w:lang w:eastAsia="en-US"/>
              </w:rPr>
              <w:t>ASQANet</w:t>
            </w:r>
            <w:proofErr w:type="spellEnd"/>
          </w:p>
          <w:p w14:paraId="20F1A8A1" w14:textId="480A02A1" w:rsidR="00BF636A" w:rsidRDefault="00BF636A" w:rsidP="4EC1F082">
            <w:pPr>
              <w:rPr>
                <w:rFonts w:ascii="Calibri" w:eastAsia="Calibri" w:hAnsi="Calibri"/>
                <w:sz w:val="22"/>
                <w:szCs w:val="22"/>
                <w:lang w:eastAsia="en-US"/>
              </w:rPr>
            </w:pPr>
            <w:r>
              <w:rPr>
                <w:rFonts w:ascii="Calibri" w:eastAsia="Calibri" w:hAnsi="Calibri"/>
                <w:sz w:val="22"/>
                <w:szCs w:val="22"/>
                <w:lang w:eastAsia="en-US"/>
              </w:rPr>
              <w:t xml:space="preserve">Submit changes to CRICOS to </w:t>
            </w:r>
            <w:proofErr w:type="spellStart"/>
            <w:r>
              <w:rPr>
                <w:rFonts w:ascii="Calibri" w:eastAsia="Calibri" w:hAnsi="Calibri"/>
                <w:sz w:val="22"/>
                <w:szCs w:val="22"/>
                <w:lang w:eastAsia="en-US"/>
              </w:rPr>
              <w:t>ASQANet</w:t>
            </w:r>
            <w:proofErr w:type="spellEnd"/>
          </w:p>
        </w:tc>
      </w:tr>
      <w:tr w:rsidR="00052883" w14:paraId="0195CEC3" w14:textId="77777777" w:rsidTr="5588621F">
        <w:tc>
          <w:tcPr>
            <w:tcW w:w="2547" w:type="dxa"/>
          </w:tcPr>
          <w:p w14:paraId="736D2089" w14:textId="3DA5ABC4" w:rsidR="00052883" w:rsidRDefault="003D1A8F"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Manager, Surveys </w:t>
            </w:r>
            <w:r w:rsidR="00AD12EA">
              <w:rPr>
                <w:rFonts w:ascii="Calibri" w:eastAsia="Calibri" w:hAnsi="Calibri"/>
                <w:sz w:val="22"/>
                <w:szCs w:val="22"/>
                <w:lang w:eastAsia="en-US"/>
              </w:rPr>
              <w:t>and</w:t>
            </w:r>
            <w:r>
              <w:rPr>
                <w:rFonts w:ascii="Calibri" w:eastAsia="Calibri" w:hAnsi="Calibri"/>
                <w:sz w:val="22"/>
                <w:szCs w:val="22"/>
                <w:lang w:eastAsia="en-US"/>
              </w:rPr>
              <w:t xml:space="preserve"> Data</w:t>
            </w:r>
          </w:p>
        </w:tc>
        <w:tc>
          <w:tcPr>
            <w:tcW w:w="6825" w:type="dxa"/>
          </w:tcPr>
          <w:p w14:paraId="5A6F45B8" w14:textId="77777777" w:rsidR="00052883" w:rsidRDefault="00052883"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Conduct </w:t>
            </w:r>
            <w:r w:rsidR="0039472E">
              <w:rPr>
                <w:rFonts w:ascii="Calibri" w:eastAsia="Calibri" w:hAnsi="Calibri"/>
                <w:sz w:val="22"/>
                <w:szCs w:val="22"/>
                <w:lang w:eastAsia="en-US"/>
              </w:rPr>
              <w:t>VET Student</w:t>
            </w:r>
            <w:r>
              <w:rPr>
                <w:rFonts w:ascii="Calibri" w:eastAsia="Calibri" w:hAnsi="Calibri"/>
                <w:sz w:val="22"/>
                <w:szCs w:val="22"/>
                <w:lang w:eastAsia="en-US"/>
              </w:rPr>
              <w:t xml:space="preserve"> Experience Survey (</w:t>
            </w:r>
            <w:r w:rsidR="0039472E">
              <w:rPr>
                <w:rFonts w:ascii="Calibri" w:eastAsia="Calibri" w:hAnsi="Calibri"/>
                <w:sz w:val="22"/>
                <w:szCs w:val="22"/>
                <w:lang w:eastAsia="en-US"/>
              </w:rPr>
              <w:t>VS</w:t>
            </w:r>
            <w:r>
              <w:rPr>
                <w:rFonts w:ascii="Calibri" w:eastAsia="Calibri" w:hAnsi="Calibri"/>
                <w:sz w:val="22"/>
                <w:szCs w:val="22"/>
                <w:lang w:eastAsia="en-US"/>
              </w:rPr>
              <w:t>ES) and Employer Experience Survey (EES) once a year and provide a report to the CEO to submit to ASQA</w:t>
            </w:r>
          </w:p>
          <w:p w14:paraId="3C862713" w14:textId="75A38490" w:rsidR="00B52DA4" w:rsidRDefault="00B52DA4" w:rsidP="00921F79">
            <w:pPr>
              <w:spacing w:after="120"/>
              <w:rPr>
                <w:rFonts w:ascii="Calibri" w:eastAsia="Calibri" w:hAnsi="Calibri"/>
                <w:sz w:val="22"/>
                <w:szCs w:val="22"/>
                <w:lang w:eastAsia="en-US"/>
              </w:rPr>
            </w:pPr>
            <w:r>
              <w:rPr>
                <w:rFonts w:ascii="Calibri" w:eastAsia="Calibri" w:hAnsi="Calibri"/>
                <w:sz w:val="22"/>
                <w:szCs w:val="22"/>
                <w:lang w:eastAsia="en-US"/>
              </w:rPr>
              <w:t>Submit AVETMISS data once approved</w:t>
            </w:r>
          </w:p>
        </w:tc>
      </w:tr>
      <w:tr w:rsidR="00052883" w14:paraId="1AB180B4" w14:textId="77777777" w:rsidTr="5588621F">
        <w:tc>
          <w:tcPr>
            <w:tcW w:w="2547" w:type="dxa"/>
          </w:tcPr>
          <w:p w14:paraId="733F36C0" w14:textId="25330086" w:rsidR="00052883" w:rsidRDefault="00052883" w:rsidP="00921F79">
            <w:pPr>
              <w:spacing w:after="120"/>
              <w:rPr>
                <w:rFonts w:ascii="Calibri" w:eastAsia="Calibri" w:hAnsi="Calibri"/>
                <w:sz w:val="22"/>
                <w:szCs w:val="22"/>
                <w:lang w:eastAsia="en-US"/>
              </w:rPr>
            </w:pPr>
            <w:r>
              <w:rPr>
                <w:rFonts w:ascii="Calibri" w:eastAsia="Calibri" w:hAnsi="Calibri"/>
                <w:sz w:val="22"/>
                <w:szCs w:val="22"/>
                <w:lang w:eastAsia="en-US"/>
              </w:rPr>
              <w:t>All staff</w:t>
            </w:r>
          </w:p>
        </w:tc>
        <w:tc>
          <w:tcPr>
            <w:tcW w:w="6825" w:type="dxa"/>
          </w:tcPr>
          <w:p w14:paraId="09B4FA71" w14:textId="17BB4DEE" w:rsidR="00052883" w:rsidRDefault="00052883" w:rsidP="00921F79">
            <w:pPr>
              <w:spacing w:after="120"/>
              <w:rPr>
                <w:rFonts w:ascii="Calibri" w:eastAsia="Calibri" w:hAnsi="Calibri"/>
                <w:sz w:val="22"/>
                <w:szCs w:val="22"/>
                <w:lang w:eastAsia="en-US"/>
              </w:rPr>
            </w:pPr>
            <w:r>
              <w:rPr>
                <w:rFonts w:ascii="Calibri" w:eastAsia="Calibri" w:hAnsi="Calibri"/>
                <w:sz w:val="22"/>
                <w:szCs w:val="22"/>
                <w:lang w:eastAsia="en-US"/>
              </w:rPr>
              <w:t xml:space="preserve">Notify any identified or suspected Reportable Occurrence that has or may occur to the Executive Branch Manager, Audit, Risk </w:t>
            </w:r>
            <w:r w:rsidR="00AD12EA">
              <w:rPr>
                <w:rFonts w:ascii="Calibri" w:eastAsia="Calibri" w:hAnsi="Calibri"/>
                <w:sz w:val="22"/>
                <w:szCs w:val="22"/>
                <w:lang w:eastAsia="en-US"/>
              </w:rPr>
              <w:t>and</w:t>
            </w:r>
            <w:r>
              <w:rPr>
                <w:rFonts w:ascii="Calibri" w:eastAsia="Calibri" w:hAnsi="Calibri"/>
                <w:sz w:val="22"/>
                <w:szCs w:val="22"/>
                <w:lang w:eastAsia="en-US"/>
              </w:rPr>
              <w:t xml:space="preserve"> Corporate Governance and/or the relevant Accountable Executive immediately.</w:t>
            </w:r>
          </w:p>
          <w:p w14:paraId="093075E6" w14:textId="77777777" w:rsidR="0039472E" w:rsidRDefault="0039472E" w:rsidP="00921F79">
            <w:pPr>
              <w:spacing w:after="120"/>
              <w:rPr>
                <w:rFonts w:ascii="Calibri" w:eastAsia="Calibri" w:hAnsi="Calibri"/>
                <w:sz w:val="22"/>
                <w:szCs w:val="22"/>
                <w:lang w:eastAsia="en-US"/>
              </w:rPr>
            </w:pPr>
            <w:r>
              <w:rPr>
                <w:rFonts w:ascii="Calibri" w:eastAsia="Calibri" w:hAnsi="Calibri"/>
                <w:sz w:val="22"/>
                <w:szCs w:val="22"/>
                <w:lang w:eastAsia="en-US"/>
              </w:rPr>
              <w:t>Contribute to and understand compliance to relevant Standards and sub-clauses</w:t>
            </w:r>
          </w:p>
          <w:p w14:paraId="5B244D2C" w14:textId="08B17B34" w:rsidR="00454F10" w:rsidRDefault="00454F10" w:rsidP="00921F79">
            <w:pPr>
              <w:spacing w:after="120"/>
              <w:rPr>
                <w:rFonts w:ascii="Calibri" w:eastAsia="Calibri" w:hAnsi="Calibri"/>
                <w:sz w:val="22"/>
                <w:szCs w:val="22"/>
                <w:lang w:eastAsia="en-US"/>
              </w:rPr>
            </w:pPr>
            <w:r>
              <w:rPr>
                <w:rFonts w:ascii="Calibri" w:eastAsia="Calibri" w:hAnsi="Calibri"/>
                <w:sz w:val="22"/>
                <w:szCs w:val="22"/>
                <w:lang w:eastAsia="en-US"/>
              </w:rPr>
              <w:t>Monitoring compliance and reporting instances of non-compliance</w:t>
            </w:r>
          </w:p>
        </w:tc>
      </w:tr>
    </w:tbl>
    <w:p w14:paraId="4D5D9B46" w14:textId="77777777" w:rsidR="003E4EE8" w:rsidRDefault="003E4EE8" w:rsidP="003E4EE8">
      <w:pPr>
        <w:rPr>
          <w:rFonts w:asciiTheme="minorHAnsi" w:hAnsiTheme="minorHAnsi" w:cstheme="minorHAnsi"/>
          <w:b/>
          <w:bCs/>
          <w:iCs/>
          <w:lang w:val="en-US"/>
        </w:rPr>
      </w:pPr>
    </w:p>
    <w:p w14:paraId="26B76ECC" w14:textId="77777777" w:rsidR="003E4EE8" w:rsidRPr="003E4EE8" w:rsidRDefault="003E4EE8" w:rsidP="00645CEB">
      <w:pPr>
        <w:pStyle w:val="ListParagraph"/>
        <w:numPr>
          <w:ilvl w:val="0"/>
          <w:numId w:val="8"/>
        </w:numPr>
        <w:rPr>
          <w:rFonts w:asciiTheme="minorHAnsi" w:hAnsiTheme="minorHAnsi" w:cstheme="minorHAnsi"/>
          <w:b/>
          <w:bCs/>
          <w:iCs/>
          <w:vanish/>
          <w:lang w:val="en-US"/>
        </w:rPr>
      </w:pPr>
    </w:p>
    <w:p w14:paraId="4E4B6D83" w14:textId="77777777" w:rsidR="003E4EE8" w:rsidRPr="003E4EE8" w:rsidRDefault="003E4EE8" w:rsidP="00645CEB">
      <w:pPr>
        <w:pStyle w:val="ListParagraph"/>
        <w:numPr>
          <w:ilvl w:val="0"/>
          <w:numId w:val="8"/>
        </w:numPr>
        <w:rPr>
          <w:rFonts w:asciiTheme="minorHAnsi" w:hAnsiTheme="minorHAnsi" w:cstheme="minorHAnsi"/>
          <w:b/>
          <w:bCs/>
          <w:iCs/>
          <w:vanish/>
          <w:lang w:val="en-US"/>
        </w:rPr>
      </w:pPr>
    </w:p>
    <w:p w14:paraId="44422D1B" w14:textId="77777777" w:rsidR="003E4EE8" w:rsidRPr="003E4EE8" w:rsidRDefault="003E4EE8" w:rsidP="00645CEB">
      <w:pPr>
        <w:pStyle w:val="ListParagraph"/>
        <w:numPr>
          <w:ilvl w:val="0"/>
          <w:numId w:val="8"/>
        </w:numPr>
        <w:rPr>
          <w:rFonts w:asciiTheme="minorHAnsi" w:hAnsiTheme="minorHAnsi" w:cstheme="minorHAnsi"/>
          <w:b/>
          <w:bCs/>
          <w:iCs/>
          <w:vanish/>
          <w:lang w:val="en-US"/>
        </w:rPr>
      </w:pPr>
    </w:p>
    <w:p w14:paraId="79C588D8" w14:textId="77777777" w:rsidR="003E4EE8" w:rsidRPr="003E4EE8" w:rsidRDefault="003E4EE8" w:rsidP="00645CEB">
      <w:pPr>
        <w:pStyle w:val="ListParagraph"/>
        <w:numPr>
          <w:ilvl w:val="1"/>
          <w:numId w:val="8"/>
        </w:numPr>
        <w:rPr>
          <w:rFonts w:asciiTheme="minorHAnsi" w:hAnsiTheme="minorHAnsi" w:cstheme="minorHAnsi"/>
          <w:b/>
          <w:bCs/>
          <w:iCs/>
          <w:vanish/>
          <w:lang w:val="en-US"/>
        </w:rPr>
      </w:pPr>
    </w:p>
    <w:p w14:paraId="25B2D7BD" w14:textId="39C9476A" w:rsidR="003E4EE8" w:rsidRPr="003E4EE8" w:rsidRDefault="00071C85" w:rsidP="00F375C5">
      <w:pPr>
        <w:pStyle w:val="ListParagraph"/>
        <w:numPr>
          <w:ilvl w:val="1"/>
          <w:numId w:val="8"/>
        </w:numPr>
        <w:ind w:hanging="792"/>
        <w:rPr>
          <w:rFonts w:asciiTheme="minorHAnsi" w:hAnsiTheme="minorHAnsi" w:cstheme="minorHAnsi"/>
          <w:b/>
          <w:bCs/>
          <w:iCs/>
          <w:lang w:val="en-US"/>
        </w:rPr>
      </w:pPr>
      <w:r w:rsidRPr="003E4EE8">
        <w:rPr>
          <w:rFonts w:asciiTheme="minorHAnsi" w:hAnsiTheme="minorHAnsi" w:cstheme="minorHAnsi"/>
          <w:b/>
          <w:bCs/>
          <w:iCs/>
          <w:lang w:val="en-US"/>
        </w:rPr>
        <w:t>Material Change Notifications</w:t>
      </w:r>
    </w:p>
    <w:p w14:paraId="1A32A7ED" w14:textId="77777777" w:rsidR="003E4EE8" w:rsidRPr="003E4EE8" w:rsidRDefault="003E4EE8" w:rsidP="00645CEB">
      <w:pPr>
        <w:pStyle w:val="ListParagraph"/>
        <w:numPr>
          <w:ilvl w:val="0"/>
          <w:numId w:val="7"/>
        </w:numPr>
        <w:rPr>
          <w:vanish/>
        </w:rPr>
      </w:pPr>
    </w:p>
    <w:p w14:paraId="3650B703" w14:textId="77777777" w:rsidR="003E4EE8" w:rsidRPr="003E4EE8" w:rsidRDefault="003E4EE8" w:rsidP="00645CEB">
      <w:pPr>
        <w:pStyle w:val="ListParagraph"/>
        <w:numPr>
          <w:ilvl w:val="0"/>
          <w:numId w:val="7"/>
        </w:numPr>
        <w:rPr>
          <w:vanish/>
        </w:rPr>
      </w:pPr>
    </w:p>
    <w:p w14:paraId="2BED7C79" w14:textId="77777777" w:rsidR="003E4EE8" w:rsidRPr="003E4EE8" w:rsidRDefault="003E4EE8" w:rsidP="00645CEB">
      <w:pPr>
        <w:pStyle w:val="ListParagraph"/>
        <w:numPr>
          <w:ilvl w:val="0"/>
          <w:numId w:val="7"/>
        </w:numPr>
        <w:rPr>
          <w:vanish/>
        </w:rPr>
      </w:pPr>
    </w:p>
    <w:p w14:paraId="630A61CA" w14:textId="77777777" w:rsidR="003E4EE8" w:rsidRPr="003E4EE8" w:rsidRDefault="003E4EE8" w:rsidP="00645CEB">
      <w:pPr>
        <w:pStyle w:val="ListParagraph"/>
        <w:numPr>
          <w:ilvl w:val="1"/>
          <w:numId w:val="7"/>
        </w:numPr>
        <w:rPr>
          <w:vanish/>
        </w:rPr>
      </w:pPr>
    </w:p>
    <w:p w14:paraId="3097B4C7" w14:textId="77777777" w:rsidR="003E4EE8" w:rsidRPr="003E4EE8" w:rsidRDefault="003E4EE8" w:rsidP="00645CEB">
      <w:pPr>
        <w:pStyle w:val="ListParagraph"/>
        <w:numPr>
          <w:ilvl w:val="1"/>
          <w:numId w:val="7"/>
        </w:numPr>
        <w:rPr>
          <w:vanish/>
        </w:rPr>
      </w:pPr>
    </w:p>
    <w:p w14:paraId="3FAD1DF8" w14:textId="20567A1F" w:rsidR="003E4EE8" w:rsidRPr="003E4EE8" w:rsidRDefault="00071C85" w:rsidP="00645CEB">
      <w:pPr>
        <w:pStyle w:val="ListParagraph"/>
        <w:numPr>
          <w:ilvl w:val="2"/>
          <w:numId w:val="11"/>
        </w:numPr>
        <w:rPr>
          <w:rFonts w:asciiTheme="minorHAnsi" w:hAnsiTheme="minorHAnsi" w:cstheme="minorHAnsi"/>
          <w:iCs/>
          <w:lang w:val="en-US"/>
        </w:rPr>
      </w:pPr>
      <w:r w:rsidRPr="003E4EE8">
        <w:t xml:space="preserve">Material Change Notifications (MCNS) must be reported to ASQA as soon as practicable, and within no more than ninety (90) days of the event(s). </w:t>
      </w:r>
      <w:r w:rsidR="00EB0EFF" w:rsidRPr="003E4EE8">
        <w:t xml:space="preserve"> </w:t>
      </w:r>
    </w:p>
    <w:p w14:paraId="4A0CBE10" w14:textId="77777777" w:rsidR="003E4EE8" w:rsidRPr="003E4EE8" w:rsidRDefault="003E4EE8" w:rsidP="00645CEB">
      <w:pPr>
        <w:pStyle w:val="ListParagraph"/>
        <w:numPr>
          <w:ilvl w:val="2"/>
          <w:numId w:val="11"/>
        </w:numPr>
        <w:rPr>
          <w:rFonts w:asciiTheme="minorHAnsi" w:hAnsiTheme="minorHAnsi" w:cstheme="minorHAnsi"/>
          <w:iCs/>
          <w:lang w:val="en-US"/>
        </w:rPr>
      </w:pPr>
      <w:r w:rsidRPr="003E4EE8">
        <w:t xml:space="preserve"> </w:t>
      </w:r>
      <w:r w:rsidR="00071C85" w:rsidRPr="003E4EE8">
        <w:t xml:space="preserve">MCNs must be submitted to ASQA using </w:t>
      </w:r>
      <w:proofErr w:type="spellStart"/>
      <w:r w:rsidR="00071C85" w:rsidRPr="003E4EE8">
        <w:t>ASQANet</w:t>
      </w:r>
      <w:proofErr w:type="spellEnd"/>
      <w:r w:rsidR="00071C85" w:rsidRPr="003E4EE8">
        <w:t xml:space="preserve"> porta</w:t>
      </w:r>
      <w:r w:rsidRPr="003E4EE8">
        <w:t>l</w:t>
      </w:r>
    </w:p>
    <w:p w14:paraId="4EE53F0B" w14:textId="77777777" w:rsidR="003E4EE8" w:rsidRPr="003E4EE8" w:rsidRDefault="003E4EE8" w:rsidP="00645CEB">
      <w:pPr>
        <w:pStyle w:val="ListParagraph"/>
        <w:numPr>
          <w:ilvl w:val="2"/>
          <w:numId w:val="11"/>
        </w:numPr>
        <w:rPr>
          <w:rFonts w:asciiTheme="minorHAnsi" w:hAnsiTheme="minorHAnsi" w:cstheme="minorHAnsi"/>
          <w:iCs/>
          <w:lang w:val="en-US"/>
        </w:rPr>
      </w:pPr>
      <w:r w:rsidRPr="003E4EE8">
        <w:t xml:space="preserve"> </w:t>
      </w:r>
      <w:r w:rsidR="00071C85" w:rsidRPr="003E4EE8">
        <w:t xml:space="preserve">MCNs must be approved via brief by the Chief Executive Officer </w:t>
      </w:r>
    </w:p>
    <w:p w14:paraId="5D634DD5" w14:textId="77777777" w:rsidR="003E4EE8" w:rsidRPr="004F1B3A" w:rsidRDefault="003E4EE8" w:rsidP="00645CEB">
      <w:pPr>
        <w:pStyle w:val="ListParagraph"/>
        <w:numPr>
          <w:ilvl w:val="2"/>
          <w:numId w:val="11"/>
        </w:numPr>
        <w:rPr>
          <w:rFonts w:asciiTheme="minorHAnsi" w:hAnsiTheme="minorHAnsi" w:cstheme="minorHAnsi"/>
          <w:iCs/>
          <w:lang w:val="en-US"/>
        </w:rPr>
      </w:pPr>
      <w:r w:rsidRPr="003E4EE8">
        <w:t xml:space="preserve"> </w:t>
      </w:r>
      <w:r w:rsidR="00071C85" w:rsidRPr="003E4EE8">
        <w:t>MCNs must be accompanied by a CEO Declaration</w:t>
      </w:r>
    </w:p>
    <w:p w14:paraId="2D249480" w14:textId="20D5508B" w:rsidR="00FF332B" w:rsidRPr="004F1B3A" w:rsidRDefault="001809B1" w:rsidP="00645CEB">
      <w:pPr>
        <w:pStyle w:val="ListParagraph"/>
        <w:numPr>
          <w:ilvl w:val="2"/>
          <w:numId w:val="11"/>
        </w:numPr>
        <w:rPr>
          <w:rFonts w:asciiTheme="minorHAnsi" w:hAnsiTheme="minorHAnsi" w:cstheme="minorHAnsi"/>
          <w:iCs/>
          <w:lang w:val="en-US"/>
        </w:rPr>
      </w:pPr>
      <w:r>
        <w:t xml:space="preserve">MCNs must be accompanied by </w:t>
      </w:r>
      <w:r w:rsidR="00FF332B">
        <w:t xml:space="preserve">all documentation as identified by ASQA. These are outlined in Schedule 1. </w:t>
      </w:r>
    </w:p>
    <w:p w14:paraId="03281720" w14:textId="77777777" w:rsidR="003E4EE8" w:rsidRPr="004F1B3A" w:rsidRDefault="003E4EE8" w:rsidP="0054607C">
      <w:pPr>
        <w:pStyle w:val="ListParagraph"/>
        <w:ind w:left="1224"/>
        <w:rPr>
          <w:rFonts w:asciiTheme="minorHAnsi" w:hAnsiTheme="minorHAnsi" w:cstheme="minorHAnsi"/>
          <w:lang w:val="en-US"/>
        </w:rPr>
      </w:pPr>
    </w:p>
    <w:p w14:paraId="5087DB3D" w14:textId="669DDF86" w:rsidR="008D5C95" w:rsidRPr="003E4EE8" w:rsidRDefault="00071C85" w:rsidP="00B52DA4">
      <w:pPr>
        <w:pStyle w:val="ListParagraph"/>
        <w:numPr>
          <w:ilvl w:val="1"/>
          <w:numId w:val="7"/>
        </w:numPr>
        <w:ind w:hanging="792"/>
        <w:rPr>
          <w:rFonts w:cs="Calibri"/>
          <w:b/>
          <w:bCs/>
          <w:iCs/>
          <w:vanish/>
          <w:lang w:val="en-US"/>
        </w:rPr>
      </w:pPr>
      <w:r w:rsidRPr="003E4EE8">
        <w:rPr>
          <w:rFonts w:asciiTheme="minorHAnsi" w:hAnsiTheme="minorHAnsi" w:cstheme="minorHAnsi"/>
          <w:b/>
          <w:bCs/>
          <w:iCs/>
          <w:lang w:val="en-US"/>
        </w:rPr>
        <w:t>Reportable Occurrence</w:t>
      </w:r>
    </w:p>
    <w:p w14:paraId="21C4AE6D" w14:textId="77777777" w:rsidR="008D5C95" w:rsidRPr="008D5C95" w:rsidRDefault="008D5C95" w:rsidP="00645CEB">
      <w:pPr>
        <w:pStyle w:val="ListParagraph"/>
        <w:numPr>
          <w:ilvl w:val="0"/>
          <w:numId w:val="1"/>
        </w:numPr>
        <w:rPr>
          <w:rFonts w:cs="Calibri"/>
          <w:iCs/>
          <w:vanish/>
          <w:lang w:val="en-US"/>
        </w:rPr>
      </w:pPr>
    </w:p>
    <w:p w14:paraId="4E6CE6B8" w14:textId="77777777" w:rsidR="008D5C95" w:rsidRPr="008D5C95" w:rsidRDefault="008D5C95" w:rsidP="00645CEB">
      <w:pPr>
        <w:pStyle w:val="ListParagraph"/>
        <w:numPr>
          <w:ilvl w:val="0"/>
          <w:numId w:val="1"/>
        </w:numPr>
        <w:rPr>
          <w:rFonts w:cs="Calibri"/>
          <w:iCs/>
          <w:vanish/>
          <w:lang w:val="en-US"/>
        </w:rPr>
      </w:pPr>
    </w:p>
    <w:p w14:paraId="1909E577" w14:textId="77777777" w:rsidR="003E4EE8" w:rsidRDefault="003E4EE8" w:rsidP="0054607C">
      <w:pPr>
        <w:spacing w:line="276" w:lineRule="auto"/>
        <w:rPr>
          <w:rFonts w:cs="Calibri"/>
          <w:iCs/>
          <w:lang w:val="en-US"/>
        </w:rPr>
      </w:pPr>
    </w:p>
    <w:p w14:paraId="40EA21FF" w14:textId="18D26564" w:rsidR="003E4EE8" w:rsidRDefault="003E4EE8" w:rsidP="00645CEB">
      <w:pPr>
        <w:pStyle w:val="ListParagraph"/>
        <w:numPr>
          <w:ilvl w:val="2"/>
          <w:numId w:val="12"/>
        </w:numPr>
      </w:pPr>
      <w:r>
        <w:t xml:space="preserve"> </w:t>
      </w:r>
      <w:r w:rsidRPr="003E4EE8">
        <w:t>A</w:t>
      </w:r>
      <w:r w:rsidR="00071C85" w:rsidRPr="003E4EE8">
        <w:t xml:space="preserve"> staff member who identifies or supposes that a </w:t>
      </w:r>
      <w:r w:rsidR="00087974">
        <w:t>r</w:t>
      </w:r>
      <w:r w:rsidR="00071C85" w:rsidRPr="003E4EE8">
        <w:t xml:space="preserve">eportable </w:t>
      </w:r>
      <w:r w:rsidR="00087974">
        <w:t>o</w:t>
      </w:r>
      <w:r w:rsidR="00071C85" w:rsidRPr="003E4EE8">
        <w:t xml:space="preserve">ccurrence has or may occur must immediately report to the occurrence to the </w:t>
      </w:r>
      <w:r w:rsidR="00087974">
        <w:t>E</w:t>
      </w:r>
      <w:r w:rsidR="0024469B">
        <w:t xml:space="preserve">xecutive </w:t>
      </w:r>
      <w:r w:rsidR="00087974">
        <w:t>B</w:t>
      </w:r>
      <w:r w:rsidR="0024469B">
        <w:t xml:space="preserve">ranch </w:t>
      </w:r>
      <w:r w:rsidR="00087974">
        <w:t>M</w:t>
      </w:r>
      <w:r w:rsidR="0024469B">
        <w:t>anager, Audit, Risk and Corporate Governance</w:t>
      </w:r>
      <w:r w:rsidR="00525DFA" w:rsidRPr="003E4EE8">
        <w:t xml:space="preserve"> </w:t>
      </w:r>
      <w:r w:rsidR="00071C85" w:rsidRPr="003E4EE8">
        <w:t xml:space="preserve">and/or the Accountable Executive. </w:t>
      </w:r>
    </w:p>
    <w:p w14:paraId="16C7B242" w14:textId="51D89B85" w:rsidR="003E4EE8" w:rsidRPr="003E4EE8" w:rsidRDefault="00071C85" w:rsidP="00645CEB">
      <w:pPr>
        <w:pStyle w:val="ListParagraph"/>
        <w:numPr>
          <w:ilvl w:val="2"/>
          <w:numId w:val="12"/>
        </w:numPr>
      </w:pPr>
      <w:r w:rsidRPr="003E4EE8">
        <w:rPr>
          <w:rFonts w:cs="Calibri"/>
          <w:iCs/>
          <w:lang w:val="en-US"/>
        </w:rPr>
        <w:t xml:space="preserve">If the </w:t>
      </w:r>
      <w:r w:rsidR="00AA77E5">
        <w:rPr>
          <w:rFonts w:cs="Calibri"/>
          <w:iCs/>
          <w:lang w:val="en-US"/>
        </w:rPr>
        <w:t xml:space="preserve">Executive Branch Manager, Audit, Risk and Corporate Governance </w:t>
      </w:r>
      <w:r w:rsidR="00525DFA" w:rsidRPr="003E4EE8">
        <w:rPr>
          <w:rFonts w:cs="Calibri"/>
          <w:iCs/>
          <w:lang w:val="en-US"/>
        </w:rPr>
        <w:t>determines that a MCN is required in accordance with ASQA requirements, they will coordinate a draft MCN with the designated subject matter.</w:t>
      </w:r>
    </w:p>
    <w:p w14:paraId="40B44B39" w14:textId="16403477" w:rsidR="003E4EE8" w:rsidRPr="003E4EE8" w:rsidRDefault="003E4EE8" w:rsidP="00645CEB">
      <w:pPr>
        <w:pStyle w:val="ListParagraph"/>
        <w:numPr>
          <w:ilvl w:val="2"/>
          <w:numId w:val="12"/>
        </w:numPr>
      </w:pPr>
      <w:r>
        <w:rPr>
          <w:rFonts w:cs="Calibri"/>
          <w:iCs/>
          <w:lang w:val="en-US"/>
        </w:rPr>
        <w:t xml:space="preserve"> </w:t>
      </w:r>
      <w:r w:rsidR="00525DFA" w:rsidRPr="003E4EE8">
        <w:rPr>
          <w:rFonts w:cs="Calibri"/>
          <w:iCs/>
          <w:lang w:val="en-US"/>
        </w:rPr>
        <w:t>Reportable occurrence(s) include:</w:t>
      </w:r>
    </w:p>
    <w:p w14:paraId="72578D20" w14:textId="77777777" w:rsidR="003E4EE8" w:rsidRPr="003E4EE8" w:rsidRDefault="00525DFA" w:rsidP="00645CEB">
      <w:pPr>
        <w:pStyle w:val="ListParagraph"/>
        <w:numPr>
          <w:ilvl w:val="3"/>
          <w:numId w:val="13"/>
        </w:numPr>
      </w:pPr>
      <w:r w:rsidRPr="003E4EE8">
        <w:rPr>
          <w:rFonts w:cs="Calibri"/>
          <w:iCs/>
          <w:lang w:val="en-US"/>
        </w:rPr>
        <w:t xml:space="preserve">Any changes to business </w:t>
      </w:r>
      <w:r w:rsidR="008D5C95" w:rsidRPr="003E4EE8">
        <w:rPr>
          <w:rFonts w:cs="Calibri"/>
          <w:iCs/>
          <w:lang w:val="en-US"/>
        </w:rPr>
        <w:t>ownership</w:t>
      </w:r>
      <w:r w:rsidRPr="003E4EE8">
        <w:rPr>
          <w:rFonts w:cs="Calibri"/>
          <w:iCs/>
          <w:lang w:val="en-US"/>
        </w:rPr>
        <w:t xml:space="preserve">, financial status, legal name or type of legal </w:t>
      </w:r>
      <w:proofErr w:type="gramStart"/>
      <w:r w:rsidRPr="003E4EE8">
        <w:rPr>
          <w:rFonts w:cs="Calibri"/>
          <w:iCs/>
          <w:lang w:val="en-US"/>
        </w:rPr>
        <w:t>entity</w:t>
      </w:r>
      <w:r w:rsidR="00EB0EFF" w:rsidRPr="003E4EE8">
        <w:rPr>
          <w:rFonts w:cs="Calibri"/>
          <w:iCs/>
          <w:lang w:val="en-US"/>
        </w:rPr>
        <w:t>;</w:t>
      </w:r>
      <w:proofErr w:type="gramEnd"/>
    </w:p>
    <w:p w14:paraId="165CEAAE" w14:textId="77777777" w:rsidR="003E4EE8" w:rsidRPr="003E4EE8" w:rsidRDefault="00525DFA" w:rsidP="00645CEB">
      <w:pPr>
        <w:pStyle w:val="ListParagraph"/>
        <w:numPr>
          <w:ilvl w:val="3"/>
          <w:numId w:val="13"/>
        </w:numPr>
      </w:pPr>
      <w:r w:rsidRPr="003E4EE8">
        <w:rPr>
          <w:rFonts w:cs="Calibri"/>
          <w:iCs/>
          <w:lang w:val="en-US"/>
        </w:rPr>
        <w:t xml:space="preserve">Change of Chief </w:t>
      </w:r>
      <w:r w:rsidR="008D5C95" w:rsidRPr="003E4EE8">
        <w:rPr>
          <w:rFonts w:cs="Calibri"/>
          <w:iCs/>
          <w:lang w:val="en-US"/>
        </w:rPr>
        <w:t>Executive</w:t>
      </w:r>
      <w:r w:rsidRPr="003E4EE8">
        <w:rPr>
          <w:rFonts w:cs="Calibri"/>
          <w:iCs/>
          <w:lang w:val="en-US"/>
        </w:rPr>
        <w:t xml:space="preserve"> Officer (CEO), Principal Executive Officer (PEO</w:t>
      </w:r>
      <w:proofErr w:type="gramStart"/>
      <w:r w:rsidRPr="003E4EE8">
        <w:rPr>
          <w:rFonts w:cs="Calibri"/>
          <w:iCs/>
          <w:lang w:val="en-US"/>
        </w:rPr>
        <w:t>);</w:t>
      </w:r>
      <w:proofErr w:type="gramEnd"/>
    </w:p>
    <w:p w14:paraId="76771C53" w14:textId="77777777" w:rsidR="003E4EE8" w:rsidRPr="003E4EE8" w:rsidRDefault="00525DFA" w:rsidP="00645CEB">
      <w:pPr>
        <w:pStyle w:val="ListParagraph"/>
        <w:numPr>
          <w:ilvl w:val="3"/>
          <w:numId w:val="13"/>
        </w:numPr>
      </w:pPr>
      <w:r w:rsidRPr="003E4EE8">
        <w:rPr>
          <w:rFonts w:cs="Calibri"/>
          <w:iCs/>
          <w:lang w:val="en-US"/>
        </w:rPr>
        <w:t xml:space="preserve">Change of Corporate address/location </w:t>
      </w:r>
      <w:proofErr w:type="gramStart"/>
      <w:r w:rsidRPr="003E4EE8">
        <w:rPr>
          <w:rFonts w:cs="Calibri"/>
          <w:iCs/>
          <w:lang w:val="en-US"/>
        </w:rPr>
        <w:t>change;</w:t>
      </w:r>
      <w:proofErr w:type="gramEnd"/>
    </w:p>
    <w:p w14:paraId="62C3B442" w14:textId="77777777" w:rsidR="003E4EE8" w:rsidRPr="003E4EE8" w:rsidRDefault="00525DFA" w:rsidP="00645CEB">
      <w:pPr>
        <w:pStyle w:val="ListParagraph"/>
        <w:numPr>
          <w:ilvl w:val="3"/>
          <w:numId w:val="13"/>
        </w:numPr>
      </w:pPr>
      <w:r w:rsidRPr="003E4EE8">
        <w:rPr>
          <w:rFonts w:cs="Calibri"/>
          <w:iCs/>
          <w:lang w:val="en-US"/>
        </w:rPr>
        <w:t xml:space="preserve">Events that would affect the fit and proper status of Council members or key senior staff e.g. Party to a civil or criminal action before court or proceedings before a professionally registration/licensing body or subject of an inquiry or investigation of a government department, regulatory body or former employer that could reasonably raise an expectation of interference with public </w:t>
      </w:r>
      <w:proofErr w:type="gramStart"/>
      <w:r w:rsidRPr="003E4EE8">
        <w:rPr>
          <w:rFonts w:cs="Calibri"/>
          <w:iCs/>
          <w:lang w:val="en-US"/>
        </w:rPr>
        <w:t>duties;</w:t>
      </w:r>
      <w:proofErr w:type="gramEnd"/>
    </w:p>
    <w:p w14:paraId="28A6C2B0" w14:textId="77777777" w:rsidR="003E4EE8" w:rsidRPr="003E4EE8" w:rsidRDefault="00525DFA" w:rsidP="00645CEB">
      <w:pPr>
        <w:pStyle w:val="ListParagraph"/>
        <w:numPr>
          <w:ilvl w:val="3"/>
          <w:numId w:val="13"/>
        </w:numPr>
      </w:pPr>
      <w:r w:rsidRPr="003E4EE8">
        <w:rPr>
          <w:rFonts w:cs="Calibri"/>
          <w:iCs/>
          <w:lang w:val="en-US"/>
        </w:rPr>
        <w:t xml:space="preserve">Changes that may impact on financial viability such as significant changes to the provider’s existing, new or anticipated revenue sources or the appointment of an external administrator, liquidator or </w:t>
      </w:r>
      <w:proofErr w:type="gramStart"/>
      <w:r w:rsidRPr="003E4EE8">
        <w:rPr>
          <w:rFonts w:cs="Calibri"/>
          <w:iCs/>
          <w:lang w:val="en-US"/>
        </w:rPr>
        <w:t>receiver;</w:t>
      </w:r>
      <w:proofErr w:type="gramEnd"/>
    </w:p>
    <w:p w14:paraId="3AF8FE90" w14:textId="77777777" w:rsidR="003E4EE8" w:rsidRPr="003E4EE8" w:rsidRDefault="00525DFA" w:rsidP="00645CEB">
      <w:pPr>
        <w:pStyle w:val="ListParagraph"/>
        <w:numPr>
          <w:ilvl w:val="3"/>
          <w:numId w:val="13"/>
        </w:numPr>
      </w:pPr>
      <w:r w:rsidRPr="003E4EE8">
        <w:rPr>
          <w:rFonts w:cs="Calibri"/>
          <w:iCs/>
          <w:lang w:val="en-US"/>
        </w:rPr>
        <w:t>New arrangements to deliver a course of study in whole, or in part, through a third party (onshore or offshore)</w:t>
      </w:r>
    </w:p>
    <w:p w14:paraId="54ABDA9D" w14:textId="77777777" w:rsidR="003E4EE8" w:rsidRPr="003E4EE8" w:rsidRDefault="00525DFA" w:rsidP="00645CEB">
      <w:pPr>
        <w:pStyle w:val="ListParagraph"/>
        <w:numPr>
          <w:ilvl w:val="3"/>
          <w:numId w:val="13"/>
        </w:numPr>
      </w:pPr>
      <w:r w:rsidRPr="003E4EE8">
        <w:rPr>
          <w:rFonts w:cs="Calibri"/>
          <w:iCs/>
          <w:lang w:val="en-US"/>
        </w:rPr>
        <w:t xml:space="preserve">Significant issues arising from a third part arrangement or arrangements such as failures of the control and reporting systems in place to monitor third party delivery or failures on the part of the third patty to ensure that course delivery meets relevant regulatory </w:t>
      </w:r>
      <w:proofErr w:type="gramStart"/>
      <w:r w:rsidRPr="003E4EE8">
        <w:rPr>
          <w:rFonts w:cs="Calibri"/>
          <w:iCs/>
          <w:lang w:val="en-US"/>
        </w:rPr>
        <w:t>requirements;</w:t>
      </w:r>
      <w:proofErr w:type="gramEnd"/>
    </w:p>
    <w:p w14:paraId="0D66B7EF" w14:textId="77777777" w:rsidR="003E4EE8" w:rsidRPr="003E4EE8" w:rsidRDefault="008D5C95" w:rsidP="00645CEB">
      <w:pPr>
        <w:pStyle w:val="ListParagraph"/>
        <w:numPr>
          <w:ilvl w:val="3"/>
          <w:numId w:val="13"/>
        </w:numPr>
      </w:pPr>
      <w:r w:rsidRPr="003E4EE8">
        <w:rPr>
          <w:rFonts w:cs="Calibri"/>
          <w:iCs/>
          <w:lang w:val="en-US"/>
        </w:rPr>
        <w:t>Any events that may have a significant impact on students, including:</w:t>
      </w:r>
    </w:p>
    <w:p w14:paraId="0B368EB6" w14:textId="1AB28FEF" w:rsidR="00AD12EA" w:rsidRPr="00B52DA4" w:rsidRDefault="00AD12EA" w:rsidP="00645CEB">
      <w:pPr>
        <w:pStyle w:val="ListParagraph"/>
        <w:numPr>
          <w:ilvl w:val="4"/>
          <w:numId w:val="14"/>
        </w:numPr>
      </w:pPr>
      <w:r>
        <w:rPr>
          <w:rFonts w:cs="Calibri"/>
          <w:iCs/>
          <w:lang w:val="en-US"/>
        </w:rPr>
        <w:t xml:space="preserve">Addition or removal of training </w:t>
      </w:r>
      <w:proofErr w:type="gramStart"/>
      <w:r>
        <w:rPr>
          <w:rFonts w:cs="Calibri"/>
          <w:iCs/>
          <w:lang w:val="en-US"/>
        </w:rPr>
        <w:t>products;</w:t>
      </w:r>
      <w:proofErr w:type="gramEnd"/>
    </w:p>
    <w:p w14:paraId="72BA7BD2" w14:textId="10223421" w:rsidR="003E4EE8" w:rsidRPr="003E4EE8" w:rsidRDefault="008D5C95" w:rsidP="00645CEB">
      <w:pPr>
        <w:pStyle w:val="ListParagraph"/>
        <w:numPr>
          <w:ilvl w:val="4"/>
          <w:numId w:val="14"/>
        </w:numPr>
      </w:pPr>
      <w:r w:rsidRPr="5588621F">
        <w:rPr>
          <w:rFonts w:cs="Calibri"/>
          <w:lang w:val="en-US"/>
        </w:rPr>
        <w:t xml:space="preserve">Changes in course delivery sites including new delivery </w:t>
      </w:r>
      <w:proofErr w:type="gramStart"/>
      <w:r w:rsidRPr="5588621F">
        <w:rPr>
          <w:rFonts w:cs="Calibri"/>
          <w:lang w:val="en-US"/>
        </w:rPr>
        <w:t>sites;</w:t>
      </w:r>
      <w:proofErr w:type="gramEnd"/>
    </w:p>
    <w:p w14:paraId="00813F33" w14:textId="77777777" w:rsidR="003E4EE8" w:rsidRPr="003E4EE8" w:rsidRDefault="008D5C95" w:rsidP="00645CEB">
      <w:pPr>
        <w:pStyle w:val="ListParagraph"/>
        <w:numPr>
          <w:ilvl w:val="4"/>
          <w:numId w:val="14"/>
        </w:numPr>
      </w:pPr>
      <w:r w:rsidRPr="5588621F">
        <w:rPr>
          <w:rFonts w:cs="Calibri"/>
          <w:lang w:val="en-US"/>
        </w:rPr>
        <w:t xml:space="preserve">A change or lapse in professional accreditation status of a </w:t>
      </w:r>
      <w:proofErr w:type="gramStart"/>
      <w:r w:rsidRPr="5588621F">
        <w:rPr>
          <w:rFonts w:cs="Calibri"/>
          <w:lang w:val="en-US"/>
        </w:rPr>
        <w:t>course;</w:t>
      </w:r>
      <w:proofErr w:type="gramEnd"/>
    </w:p>
    <w:p w14:paraId="1E3FA351" w14:textId="132EABCB" w:rsidR="008D5C95" w:rsidRPr="003E4EE8" w:rsidRDefault="008D5C95" w:rsidP="00645CEB">
      <w:pPr>
        <w:pStyle w:val="ListParagraph"/>
        <w:numPr>
          <w:ilvl w:val="4"/>
          <w:numId w:val="14"/>
        </w:numPr>
      </w:pPr>
      <w:r w:rsidRPr="5588621F">
        <w:rPr>
          <w:rFonts w:cs="Calibri"/>
          <w:lang w:val="en-US"/>
        </w:rPr>
        <w:t xml:space="preserve">Any other significant incidents that happen or are likely to happen that would significantly affect CIT’s ability to comply with regulatory requirements. </w:t>
      </w:r>
    </w:p>
    <w:p w14:paraId="384510E8" w14:textId="77777777" w:rsidR="00DD07DF" w:rsidRPr="00EB0EFF" w:rsidRDefault="00DD07DF" w:rsidP="0054607C">
      <w:pPr>
        <w:pStyle w:val="ListParagraph"/>
        <w:ind w:left="1800"/>
        <w:rPr>
          <w:rFonts w:cs="Calibri"/>
          <w:iCs/>
          <w:lang w:val="en-US"/>
        </w:rPr>
      </w:pPr>
    </w:p>
    <w:p w14:paraId="27AE694D" w14:textId="77777777" w:rsidR="003E4EE8" w:rsidRDefault="00C0467B" w:rsidP="00F375C5">
      <w:pPr>
        <w:pStyle w:val="ListParagraph"/>
        <w:numPr>
          <w:ilvl w:val="1"/>
          <w:numId w:val="7"/>
        </w:numPr>
        <w:ind w:hanging="792"/>
        <w:rPr>
          <w:rFonts w:asciiTheme="minorHAnsi" w:hAnsiTheme="minorHAnsi" w:cstheme="minorHAnsi"/>
          <w:b/>
          <w:bCs/>
          <w:iCs/>
          <w:lang w:val="en-US"/>
        </w:rPr>
      </w:pPr>
      <w:r w:rsidRPr="003E4EE8">
        <w:rPr>
          <w:rFonts w:asciiTheme="minorHAnsi" w:hAnsiTheme="minorHAnsi" w:cstheme="minorHAnsi"/>
          <w:b/>
          <w:bCs/>
          <w:iCs/>
          <w:lang w:val="en-US"/>
        </w:rPr>
        <w:t>Fit and Proper Person Checks</w:t>
      </w:r>
    </w:p>
    <w:p w14:paraId="4CEAD26F" w14:textId="7DD319ED" w:rsidR="007629CF" w:rsidRDefault="00087974" w:rsidP="00645CEB">
      <w:pPr>
        <w:pStyle w:val="ListParagraph"/>
        <w:numPr>
          <w:ilvl w:val="2"/>
          <w:numId w:val="15"/>
        </w:numPr>
        <w:rPr>
          <w:rFonts w:asciiTheme="minorHAnsi" w:hAnsiTheme="minorHAnsi" w:cstheme="minorHAnsi"/>
          <w:iCs/>
          <w:lang w:val="en-US"/>
        </w:rPr>
      </w:pPr>
      <w:r>
        <w:rPr>
          <w:rFonts w:asciiTheme="minorHAnsi" w:hAnsiTheme="minorHAnsi" w:cstheme="minorHAnsi"/>
          <w:iCs/>
          <w:lang w:val="en-US"/>
        </w:rPr>
        <w:t>Board</w:t>
      </w:r>
      <w:r w:rsidRPr="003E4EE8">
        <w:rPr>
          <w:rFonts w:asciiTheme="minorHAnsi" w:hAnsiTheme="minorHAnsi" w:cstheme="minorHAnsi"/>
          <w:iCs/>
          <w:lang w:val="en-US"/>
        </w:rPr>
        <w:t xml:space="preserve"> </w:t>
      </w:r>
      <w:r w:rsidR="007629CF" w:rsidRPr="003E4EE8">
        <w:rPr>
          <w:rFonts w:asciiTheme="minorHAnsi" w:hAnsiTheme="minorHAnsi" w:cstheme="minorHAnsi"/>
          <w:iCs/>
          <w:lang w:val="en-US"/>
        </w:rPr>
        <w:t>Members and senior Executive members must notify any declarable events that occur between annual declarations to the Executive Branch Manager, Audit</w:t>
      </w:r>
      <w:r>
        <w:rPr>
          <w:rFonts w:asciiTheme="minorHAnsi" w:hAnsiTheme="minorHAnsi" w:cstheme="minorHAnsi"/>
          <w:iCs/>
          <w:lang w:val="en-US"/>
        </w:rPr>
        <w:t>, Risk</w:t>
      </w:r>
      <w:r w:rsidR="007629CF" w:rsidRPr="003E4EE8">
        <w:rPr>
          <w:rFonts w:asciiTheme="minorHAnsi" w:hAnsiTheme="minorHAnsi" w:cstheme="minorHAnsi"/>
          <w:iCs/>
          <w:lang w:val="en-US"/>
        </w:rPr>
        <w:t xml:space="preserve"> </w:t>
      </w:r>
      <w:r w:rsidR="00AD12EA">
        <w:rPr>
          <w:rFonts w:asciiTheme="minorHAnsi" w:hAnsiTheme="minorHAnsi" w:cstheme="minorHAnsi"/>
          <w:iCs/>
          <w:lang w:val="en-US"/>
        </w:rPr>
        <w:t>and</w:t>
      </w:r>
      <w:r w:rsidR="007629CF" w:rsidRPr="003E4EE8">
        <w:rPr>
          <w:rFonts w:asciiTheme="minorHAnsi" w:hAnsiTheme="minorHAnsi" w:cstheme="minorHAnsi"/>
          <w:iCs/>
          <w:lang w:val="en-US"/>
        </w:rPr>
        <w:t xml:space="preserve"> Corporate Governance. </w:t>
      </w:r>
    </w:p>
    <w:p w14:paraId="62DFDD6C" w14:textId="3EEF3ABE" w:rsidR="00F375C5" w:rsidRDefault="00F375C5" w:rsidP="00645CEB">
      <w:pPr>
        <w:pStyle w:val="ListParagraph"/>
        <w:numPr>
          <w:ilvl w:val="2"/>
          <w:numId w:val="15"/>
        </w:numPr>
        <w:rPr>
          <w:rFonts w:asciiTheme="minorHAnsi" w:hAnsiTheme="minorHAnsi" w:cstheme="minorHAnsi"/>
          <w:iCs/>
          <w:lang w:val="en-US"/>
        </w:rPr>
      </w:pPr>
      <w:r w:rsidRPr="5588621F">
        <w:rPr>
          <w:rFonts w:asciiTheme="minorHAnsi" w:hAnsiTheme="minorHAnsi" w:cstheme="minorBidi"/>
          <w:lang w:val="en-US"/>
        </w:rPr>
        <w:t xml:space="preserve">Any changes to the CIT Board and senior Executive members must result in either the addition or deletion of a Fit and Proper Person via </w:t>
      </w:r>
      <w:proofErr w:type="spellStart"/>
      <w:r w:rsidRPr="5588621F">
        <w:rPr>
          <w:rFonts w:asciiTheme="minorHAnsi" w:hAnsiTheme="minorHAnsi" w:cstheme="minorBidi"/>
          <w:lang w:val="en-US"/>
        </w:rPr>
        <w:t>ASQANet</w:t>
      </w:r>
      <w:proofErr w:type="spellEnd"/>
      <w:r w:rsidRPr="5588621F">
        <w:rPr>
          <w:rFonts w:asciiTheme="minorHAnsi" w:hAnsiTheme="minorHAnsi" w:cstheme="minorBidi"/>
          <w:lang w:val="en-US"/>
        </w:rPr>
        <w:t xml:space="preserve"> as soon as practicable.</w:t>
      </w:r>
    </w:p>
    <w:p w14:paraId="204F19E5" w14:textId="3F515D54" w:rsidR="00E87770" w:rsidRDefault="00E87770" w:rsidP="00645CEB">
      <w:pPr>
        <w:pStyle w:val="ListParagraph"/>
        <w:numPr>
          <w:ilvl w:val="2"/>
          <w:numId w:val="15"/>
        </w:numPr>
        <w:rPr>
          <w:rFonts w:asciiTheme="minorHAnsi" w:hAnsiTheme="minorHAnsi" w:cstheme="minorHAnsi"/>
          <w:iCs/>
          <w:lang w:val="en-US"/>
        </w:rPr>
      </w:pPr>
      <w:r w:rsidRPr="5588621F">
        <w:rPr>
          <w:rFonts w:asciiTheme="minorHAnsi" w:hAnsiTheme="minorHAnsi" w:cstheme="minorBidi"/>
          <w:lang w:val="en-US"/>
        </w:rPr>
        <w:t xml:space="preserve">The Executive Branch Manager, Audit, Risk and Corporate Governance will review the event details and submit notification to </w:t>
      </w:r>
      <w:proofErr w:type="spellStart"/>
      <w:r w:rsidRPr="5588621F">
        <w:rPr>
          <w:rFonts w:asciiTheme="minorHAnsi" w:hAnsiTheme="minorHAnsi" w:cstheme="minorBidi"/>
          <w:lang w:val="en-US"/>
        </w:rPr>
        <w:t>ASQANet</w:t>
      </w:r>
      <w:proofErr w:type="spellEnd"/>
      <w:r w:rsidRPr="5588621F">
        <w:rPr>
          <w:rFonts w:asciiTheme="minorHAnsi" w:hAnsiTheme="minorHAnsi" w:cstheme="minorBidi"/>
          <w:lang w:val="en-US"/>
        </w:rPr>
        <w:t xml:space="preserve"> if required. </w:t>
      </w:r>
    </w:p>
    <w:p w14:paraId="4F47CC43" w14:textId="77777777" w:rsidR="003E4EE8" w:rsidRPr="003E4EE8" w:rsidRDefault="003E4EE8" w:rsidP="0054607C">
      <w:pPr>
        <w:pStyle w:val="ListParagraph"/>
        <w:ind w:left="1224"/>
        <w:rPr>
          <w:rFonts w:asciiTheme="minorHAnsi" w:hAnsiTheme="minorHAnsi" w:cstheme="minorHAnsi"/>
          <w:iCs/>
          <w:lang w:val="en-US"/>
        </w:rPr>
      </w:pPr>
    </w:p>
    <w:p w14:paraId="2FDEBB80" w14:textId="77777777" w:rsidR="003E4EE8" w:rsidRPr="003E4EE8" w:rsidRDefault="003E4EE8" w:rsidP="00645CEB">
      <w:pPr>
        <w:pStyle w:val="ListParagraph"/>
        <w:numPr>
          <w:ilvl w:val="1"/>
          <w:numId w:val="5"/>
        </w:numPr>
        <w:rPr>
          <w:rFonts w:asciiTheme="minorHAnsi" w:hAnsiTheme="minorHAnsi" w:cstheme="minorHAnsi"/>
          <w:b/>
          <w:bCs/>
          <w:iCs/>
          <w:vanish/>
          <w:lang w:val="en-US"/>
        </w:rPr>
      </w:pPr>
    </w:p>
    <w:p w14:paraId="407B062F" w14:textId="77777777" w:rsidR="003E4EE8" w:rsidRPr="003E4EE8" w:rsidRDefault="003E4EE8" w:rsidP="00645CEB">
      <w:pPr>
        <w:pStyle w:val="ListParagraph"/>
        <w:numPr>
          <w:ilvl w:val="1"/>
          <w:numId w:val="5"/>
        </w:numPr>
        <w:rPr>
          <w:rFonts w:asciiTheme="minorHAnsi" w:hAnsiTheme="minorHAnsi" w:cstheme="minorHAnsi"/>
          <w:b/>
          <w:bCs/>
          <w:iCs/>
          <w:vanish/>
          <w:lang w:val="en-US"/>
        </w:rPr>
      </w:pPr>
    </w:p>
    <w:p w14:paraId="546F7F5C" w14:textId="77777777" w:rsidR="003E4EE8" w:rsidRPr="003E4EE8" w:rsidRDefault="003E4EE8" w:rsidP="00645CEB">
      <w:pPr>
        <w:pStyle w:val="ListParagraph"/>
        <w:numPr>
          <w:ilvl w:val="1"/>
          <w:numId w:val="5"/>
        </w:numPr>
        <w:rPr>
          <w:rFonts w:asciiTheme="minorHAnsi" w:hAnsiTheme="minorHAnsi" w:cstheme="minorHAnsi"/>
          <w:b/>
          <w:bCs/>
          <w:iCs/>
          <w:vanish/>
          <w:lang w:val="en-US"/>
        </w:rPr>
      </w:pPr>
    </w:p>
    <w:p w14:paraId="7FE49D28" w14:textId="77777777" w:rsidR="003E4EE8" w:rsidRDefault="007629CF" w:rsidP="00F375C5">
      <w:pPr>
        <w:pStyle w:val="ListParagraph"/>
        <w:numPr>
          <w:ilvl w:val="1"/>
          <w:numId w:val="5"/>
        </w:numPr>
        <w:ind w:hanging="792"/>
        <w:rPr>
          <w:rFonts w:asciiTheme="minorHAnsi" w:hAnsiTheme="minorHAnsi" w:cstheme="minorHAnsi"/>
          <w:b/>
          <w:bCs/>
          <w:iCs/>
          <w:lang w:val="en-US"/>
        </w:rPr>
      </w:pPr>
      <w:r w:rsidRPr="00DD07DF">
        <w:rPr>
          <w:rFonts w:asciiTheme="minorHAnsi" w:hAnsiTheme="minorHAnsi" w:cstheme="minorHAnsi"/>
          <w:b/>
          <w:bCs/>
          <w:iCs/>
          <w:lang w:val="en-US"/>
        </w:rPr>
        <w:t>Annual Declaration on Compliance</w:t>
      </w:r>
    </w:p>
    <w:p w14:paraId="497622C6" w14:textId="07FFF546" w:rsidR="003E4EE8" w:rsidRPr="00B969E0" w:rsidRDefault="007629CF" w:rsidP="00645CEB">
      <w:pPr>
        <w:pStyle w:val="ListParagraph"/>
        <w:numPr>
          <w:ilvl w:val="2"/>
          <w:numId w:val="16"/>
        </w:numPr>
        <w:rPr>
          <w:rFonts w:asciiTheme="minorHAnsi" w:hAnsiTheme="minorHAnsi" w:cstheme="minorHAnsi"/>
          <w:iCs/>
          <w:lang w:val="en-US"/>
        </w:rPr>
      </w:pPr>
      <w:r w:rsidRPr="00B969E0">
        <w:rPr>
          <w:rFonts w:asciiTheme="minorHAnsi" w:hAnsiTheme="minorHAnsi" w:cstheme="minorHAnsi"/>
          <w:iCs/>
          <w:lang w:val="en-US"/>
        </w:rPr>
        <w:t>The Executive Branch Manager, Audit</w:t>
      </w:r>
      <w:r w:rsidR="00087974" w:rsidRPr="00B969E0">
        <w:rPr>
          <w:rFonts w:asciiTheme="minorHAnsi" w:hAnsiTheme="minorHAnsi" w:cstheme="minorHAnsi"/>
          <w:iCs/>
          <w:lang w:val="en-US"/>
        </w:rPr>
        <w:t>, Risk</w:t>
      </w:r>
      <w:r w:rsidRPr="00B969E0">
        <w:rPr>
          <w:rFonts w:asciiTheme="minorHAnsi" w:hAnsiTheme="minorHAnsi" w:cstheme="minorHAnsi"/>
          <w:iCs/>
          <w:lang w:val="en-US"/>
        </w:rPr>
        <w:t xml:space="preserve"> </w:t>
      </w:r>
      <w:r w:rsidR="00AD12EA">
        <w:rPr>
          <w:rFonts w:asciiTheme="minorHAnsi" w:hAnsiTheme="minorHAnsi" w:cstheme="minorHAnsi"/>
          <w:iCs/>
          <w:lang w:val="en-US"/>
        </w:rPr>
        <w:t>and</w:t>
      </w:r>
      <w:r w:rsidRPr="00B969E0">
        <w:rPr>
          <w:rFonts w:asciiTheme="minorHAnsi" w:hAnsiTheme="minorHAnsi" w:cstheme="minorHAnsi"/>
          <w:iCs/>
          <w:lang w:val="en-US"/>
        </w:rPr>
        <w:t xml:space="preserve"> Corporate Governance will ensure that processes are in place for the Annual Declaration on Compliance to be submitted to ASQA by 31 March each year and to maintain records of such declarations. </w:t>
      </w:r>
    </w:p>
    <w:p w14:paraId="62BA8BFB" w14:textId="7065B2AF" w:rsidR="001D777D" w:rsidRPr="006A49A6" w:rsidRDefault="007629CF" w:rsidP="006A49A6">
      <w:pPr>
        <w:pStyle w:val="ListParagraph"/>
        <w:numPr>
          <w:ilvl w:val="2"/>
          <w:numId w:val="16"/>
        </w:numPr>
        <w:rPr>
          <w:rFonts w:asciiTheme="minorHAnsi" w:hAnsiTheme="minorHAnsi" w:cstheme="minorHAnsi"/>
          <w:iCs/>
          <w:lang w:val="en-US"/>
        </w:rPr>
      </w:pPr>
      <w:r w:rsidRPr="00B969E0">
        <w:rPr>
          <w:rFonts w:asciiTheme="minorHAnsi" w:hAnsiTheme="minorHAnsi" w:cstheme="minorHAnsi"/>
          <w:iCs/>
          <w:lang w:val="en-US"/>
        </w:rPr>
        <w:t xml:space="preserve">The CEO will approve the final annual declaration for submission to ASQA.   </w:t>
      </w:r>
    </w:p>
    <w:p w14:paraId="6E6CAA85" w14:textId="77777777" w:rsidR="001D777D" w:rsidRPr="003E4EE8" w:rsidRDefault="001D777D" w:rsidP="0054607C">
      <w:pPr>
        <w:pStyle w:val="ListParagraph"/>
        <w:ind w:left="1224"/>
        <w:rPr>
          <w:rFonts w:asciiTheme="minorHAnsi" w:hAnsiTheme="minorHAnsi" w:cstheme="minorHAnsi"/>
          <w:b/>
          <w:bCs/>
          <w:iCs/>
          <w:lang w:val="en-US"/>
        </w:rPr>
      </w:pPr>
    </w:p>
    <w:p w14:paraId="1AE3D3EE" w14:textId="08C15E93" w:rsidR="003E4EE8" w:rsidRDefault="00F375C5" w:rsidP="00F375C5">
      <w:pPr>
        <w:pStyle w:val="ListParagraph"/>
        <w:numPr>
          <w:ilvl w:val="1"/>
          <w:numId w:val="5"/>
        </w:numPr>
        <w:ind w:hanging="792"/>
        <w:rPr>
          <w:rFonts w:asciiTheme="minorHAnsi" w:hAnsiTheme="minorHAnsi" w:cstheme="minorHAnsi"/>
          <w:b/>
          <w:bCs/>
          <w:iCs/>
          <w:lang w:val="en-US"/>
        </w:rPr>
      </w:pPr>
      <w:r>
        <w:rPr>
          <w:rFonts w:asciiTheme="minorHAnsi" w:hAnsiTheme="minorHAnsi" w:cstheme="minorHAnsi"/>
          <w:b/>
          <w:bCs/>
          <w:iCs/>
          <w:lang w:val="en-US"/>
        </w:rPr>
        <w:t xml:space="preserve">ASQA </w:t>
      </w:r>
      <w:r w:rsidR="00210D13" w:rsidRPr="0018317E">
        <w:rPr>
          <w:rFonts w:asciiTheme="minorHAnsi" w:hAnsiTheme="minorHAnsi" w:cstheme="minorHAnsi"/>
          <w:b/>
          <w:bCs/>
          <w:iCs/>
          <w:lang w:val="en-US"/>
        </w:rPr>
        <w:t>Quality Indicators</w:t>
      </w:r>
    </w:p>
    <w:p w14:paraId="1414126E" w14:textId="01714072" w:rsidR="003E4EE8" w:rsidRPr="00B969E0" w:rsidRDefault="00210D13" w:rsidP="00645CEB">
      <w:pPr>
        <w:pStyle w:val="ListParagraph"/>
        <w:numPr>
          <w:ilvl w:val="2"/>
          <w:numId w:val="17"/>
        </w:numPr>
        <w:rPr>
          <w:rStyle w:val="Hyperlink"/>
          <w:rFonts w:asciiTheme="minorHAnsi" w:hAnsiTheme="minorHAnsi" w:cstheme="minorHAnsi"/>
          <w:iCs/>
          <w:color w:val="auto"/>
          <w:u w:val="none"/>
          <w:lang w:val="en-US"/>
        </w:rPr>
      </w:pPr>
      <w:r w:rsidRPr="00B969E0">
        <w:rPr>
          <w:rFonts w:asciiTheme="minorHAnsi" w:hAnsiTheme="minorHAnsi" w:cstheme="minorHAnsi"/>
          <w:iCs/>
          <w:lang w:val="en-US"/>
        </w:rPr>
        <w:t xml:space="preserve">The </w:t>
      </w:r>
      <w:r w:rsidR="00087974" w:rsidRPr="00B969E0">
        <w:rPr>
          <w:rFonts w:asciiTheme="minorHAnsi" w:hAnsiTheme="minorHAnsi" w:cstheme="minorHAnsi"/>
          <w:iCs/>
          <w:lang w:val="en-US"/>
        </w:rPr>
        <w:t xml:space="preserve">Manager, Surveys </w:t>
      </w:r>
      <w:r w:rsidR="00AD12EA">
        <w:rPr>
          <w:rFonts w:asciiTheme="minorHAnsi" w:hAnsiTheme="minorHAnsi" w:cstheme="minorHAnsi"/>
          <w:iCs/>
          <w:lang w:val="en-US"/>
        </w:rPr>
        <w:t>and</w:t>
      </w:r>
      <w:r w:rsidR="00087974" w:rsidRPr="00B969E0">
        <w:rPr>
          <w:rFonts w:asciiTheme="minorHAnsi" w:hAnsiTheme="minorHAnsi" w:cstheme="minorHAnsi"/>
          <w:iCs/>
          <w:lang w:val="en-US"/>
        </w:rPr>
        <w:t xml:space="preserve"> Data</w:t>
      </w:r>
      <w:r w:rsidR="00AA77E5" w:rsidRPr="00B969E0">
        <w:rPr>
          <w:rFonts w:asciiTheme="minorHAnsi" w:hAnsiTheme="minorHAnsi" w:cstheme="minorHAnsi"/>
          <w:iCs/>
          <w:lang w:val="en-US"/>
        </w:rPr>
        <w:t xml:space="preserve"> </w:t>
      </w:r>
      <w:r w:rsidRPr="00B969E0">
        <w:rPr>
          <w:rFonts w:asciiTheme="minorHAnsi" w:hAnsiTheme="minorHAnsi" w:cstheme="minorHAnsi"/>
          <w:iCs/>
          <w:lang w:val="en-US"/>
        </w:rPr>
        <w:t xml:space="preserve">will ensure that processes are in place to conduct the </w:t>
      </w:r>
      <w:r w:rsidR="00087974" w:rsidRPr="00B969E0">
        <w:rPr>
          <w:rFonts w:asciiTheme="minorHAnsi" w:hAnsiTheme="minorHAnsi" w:cstheme="minorHAnsi"/>
          <w:iCs/>
          <w:lang w:val="en-US"/>
        </w:rPr>
        <w:t xml:space="preserve">VET Student </w:t>
      </w:r>
      <w:r w:rsidRPr="00B969E0">
        <w:rPr>
          <w:rFonts w:asciiTheme="minorHAnsi" w:hAnsiTheme="minorHAnsi" w:cstheme="minorHAnsi"/>
          <w:iCs/>
          <w:lang w:val="en-US"/>
        </w:rPr>
        <w:t>Engagement Survey (</w:t>
      </w:r>
      <w:r w:rsidR="00087974" w:rsidRPr="00B969E0">
        <w:rPr>
          <w:rFonts w:asciiTheme="minorHAnsi" w:hAnsiTheme="minorHAnsi" w:cstheme="minorHAnsi"/>
          <w:iCs/>
          <w:lang w:val="en-US"/>
        </w:rPr>
        <w:t>VS</w:t>
      </w:r>
      <w:r w:rsidRPr="00B969E0">
        <w:rPr>
          <w:rFonts w:asciiTheme="minorHAnsi" w:hAnsiTheme="minorHAnsi" w:cstheme="minorHAnsi"/>
          <w:iCs/>
          <w:lang w:val="en-US"/>
        </w:rPr>
        <w:t xml:space="preserve">ES) and Employer Satisfaction Survey (ESS) to meet requirements of the </w:t>
      </w:r>
      <w:hyperlink r:id="rId16" w:history="1">
        <w:r w:rsidRPr="00B969E0">
          <w:rPr>
            <w:rStyle w:val="Hyperlink"/>
            <w:rFonts w:asciiTheme="minorHAnsi" w:hAnsiTheme="minorHAnsi" w:cstheme="minorHAnsi"/>
            <w:iCs/>
            <w:lang w:val="en-US"/>
          </w:rPr>
          <w:t>National Vocational Education and Training Regulator (Data Provision Requirements) Instrument 2020</w:t>
        </w:r>
      </w:hyperlink>
    </w:p>
    <w:p w14:paraId="4889819D" w14:textId="70C209DC" w:rsidR="00210D13" w:rsidRPr="00B969E0" w:rsidRDefault="00210D13" w:rsidP="00645CEB">
      <w:pPr>
        <w:pStyle w:val="ListParagraph"/>
        <w:numPr>
          <w:ilvl w:val="2"/>
          <w:numId w:val="17"/>
        </w:numPr>
        <w:rPr>
          <w:rFonts w:asciiTheme="minorHAnsi" w:hAnsiTheme="minorHAnsi" w:cstheme="minorHAnsi"/>
          <w:iCs/>
          <w:lang w:val="en-US"/>
        </w:rPr>
      </w:pPr>
      <w:r w:rsidRPr="00B969E0">
        <w:rPr>
          <w:rFonts w:asciiTheme="minorHAnsi" w:hAnsiTheme="minorHAnsi" w:cstheme="minorHAnsi"/>
          <w:iCs/>
          <w:lang w:val="en-US"/>
        </w:rPr>
        <w:t xml:space="preserve">The Manager, Surveys </w:t>
      </w:r>
      <w:r w:rsidR="00AD12EA">
        <w:rPr>
          <w:rFonts w:asciiTheme="minorHAnsi" w:hAnsiTheme="minorHAnsi" w:cstheme="minorHAnsi"/>
          <w:iCs/>
          <w:lang w:val="en-US"/>
        </w:rPr>
        <w:t>and</w:t>
      </w:r>
      <w:r w:rsidRPr="00B969E0">
        <w:rPr>
          <w:rFonts w:asciiTheme="minorHAnsi" w:hAnsiTheme="minorHAnsi" w:cstheme="minorHAnsi"/>
          <w:iCs/>
          <w:lang w:val="en-US"/>
        </w:rPr>
        <w:t xml:space="preserve"> Data will </w:t>
      </w:r>
      <w:proofErr w:type="spellStart"/>
      <w:r w:rsidRPr="00B969E0">
        <w:rPr>
          <w:rFonts w:asciiTheme="minorHAnsi" w:hAnsiTheme="minorHAnsi" w:cstheme="minorHAnsi"/>
          <w:iCs/>
          <w:lang w:val="en-US"/>
        </w:rPr>
        <w:t>organise</w:t>
      </w:r>
      <w:proofErr w:type="spellEnd"/>
      <w:r w:rsidRPr="00B969E0">
        <w:rPr>
          <w:rFonts w:asciiTheme="minorHAnsi" w:hAnsiTheme="minorHAnsi" w:cstheme="minorHAnsi"/>
          <w:iCs/>
          <w:lang w:val="en-US"/>
        </w:rPr>
        <w:t xml:space="preserve"> the data from the </w:t>
      </w:r>
      <w:r w:rsidR="00087974" w:rsidRPr="00B969E0">
        <w:rPr>
          <w:rFonts w:asciiTheme="minorHAnsi" w:hAnsiTheme="minorHAnsi" w:cstheme="minorHAnsi"/>
          <w:iCs/>
          <w:lang w:val="en-US"/>
        </w:rPr>
        <w:t>VS</w:t>
      </w:r>
      <w:r w:rsidRPr="00B969E0">
        <w:rPr>
          <w:rFonts w:asciiTheme="minorHAnsi" w:hAnsiTheme="minorHAnsi" w:cstheme="minorHAnsi"/>
          <w:iCs/>
          <w:lang w:val="en-US"/>
        </w:rPr>
        <w:t xml:space="preserve">ES and ESS to be </w:t>
      </w:r>
      <w:proofErr w:type="spellStart"/>
      <w:r w:rsidRPr="00B969E0">
        <w:rPr>
          <w:rFonts w:asciiTheme="minorHAnsi" w:hAnsiTheme="minorHAnsi" w:cstheme="minorHAnsi"/>
          <w:iCs/>
          <w:lang w:val="en-US"/>
        </w:rPr>
        <w:t>summarised</w:t>
      </w:r>
      <w:proofErr w:type="spellEnd"/>
      <w:r w:rsidRPr="00B969E0">
        <w:rPr>
          <w:rFonts w:asciiTheme="minorHAnsi" w:hAnsiTheme="minorHAnsi" w:cstheme="minorHAnsi"/>
          <w:iCs/>
          <w:lang w:val="en-US"/>
        </w:rPr>
        <w:t xml:space="preserve"> and submitted to ASQA by 30 June each year for the previous calendar year. </w:t>
      </w:r>
    </w:p>
    <w:p w14:paraId="6391718A" w14:textId="77777777" w:rsidR="003E4EE8" w:rsidRPr="003E4EE8" w:rsidRDefault="003E4EE8" w:rsidP="0054607C">
      <w:pPr>
        <w:pStyle w:val="ListParagraph"/>
        <w:ind w:left="1224"/>
        <w:rPr>
          <w:rFonts w:asciiTheme="minorHAnsi" w:hAnsiTheme="minorHAnsi" w:cstheme="minorHAnsi"/>
          <w:b/>
          <w:bCs/>
          <w:iCs/>
          <w:lang w:val="en-US"/>
        </w:rPr>
      </w:pPr>
    </w:p>
    <w:p w14:paraId="1DAC4087" w14:textId="77777777" w:rsidR="003E4EE8" w:rsidRDefault="00210D13" w:rsidP="00B52DA4">
      <w:pPr>
        <w:pStyle w:val="ListParagraph"/>
        <w:numPr>
          <w:ilvl w:val="1"/>
          <w:numId w:val="5"/>
        </w:numPr>
        <w:ind w:hanging="792"/>
        <w:rPr>
          <w:rFonts w:asciiTheme="minorHAnsi" w:hAnsiTheme="minorHAnsi" w:cstheme="minorHAnsi"/>
          <w:b/>
          <w:bCs/>
          <w:iCs/>
          <w:lang w:val="en-US"/>
        </w:rPr>
      </w:pPr>
      <w:r>
        <w:rPr>
          <w:rFonts w:asciiTheme="minorHAnsi" w:hAnsiTheme="minorHAnsi" w:cstheme="minorHAnsi"/>
          <w:b/>
          <w:bCs/>
          <w:iCs/>
          <w:lang w:val="en-US"/>
        </w:rPr>
        <w:t>Accountable Executives</w:t>
      </w:r>
    </w:p>
    <w:p w14:paraId="519727C2" w14:textId="77777777" w:rsidR="003E4EE8" w:rsidRPr="00B969E0" w:rsidRDefault="00210D13" w:rsidP="00645CEB">
      <w:pPr>
        <w:pStyle w:val="ListParagraph"/>
        <w:numPr>
          <w:ilvl w:val="2"/>
          <w:numId w:val="18"/>
        </w:numPr>
        <w:rPr>
          <w:rFonts w:asciiTheme="minorHAnsi" w:hAnsiTheme="minorHAnsi" w:cstheme="minorHAnsi"/>
          <w:iCs/>
          <w:lang w:val="en-US"/>
        </w:rPr>
      </w:pPr>
      <w:r w:rsidRPr="00B969E0">
        <w:rPr>
          <w:rFonts w:asciiTheme="minorHAnsi" w:hAnsiTheme="minorHAnsi" w:cstheme="minorHAnsi"/>
          <w:iCs/>
          <w:lang w:val="en-US"/>
        </w:rPr>
        <w:t xml:space="preserve">The CEO will nominate and approve Accountable Executives (i.e. principal executive officers (PEOs) or principal contacts) for ASQA, including for CRICOS. </w:t>
      </w:r>
    </w:p>
    <w:p w14:paraId="203AD0EA" w14:textId="77777777" w:rsidR="003E4EE8" w:rsidRPr="00B969E0" w:rsidRDefault="00210D13" w:rsidP="00645CEB">
      <w:pPr>
        <w:pStyle w:val="ListParagraph"/>
        <w:numPr>
          <w:ilvl w:val="2"/>
          <w:numId w:val="18"/>
        </w:numPr>
        <w:rPr>
          <w:rFonts w:asciiTheme="minorHAnsi" w:hAnsiTheme="minorHAnsi" w:cstheme="minorHAnsi"/>
          <w:iCs/>
          <w:lang w:val="en-US"/>
        </w:rPr>
      </w:pPr>
      <w:r w:rsidRPr="00B969E0">
        <w:rPr>
          <w:rFonts w:asciiTheme="minorHAnsi" w:hAnsiTheme="minorHAnsi" w:cstheme="minorHAnsi"/>
          <w:iCs/>
          <w:lang w:val="en-US"/>
        </w:rPr>
        <w:t xml:space="preserve">Appointments and changes will be notified in accordance with ASQA requirements. </w:t>
      </w:r>
    </w:p>
    <w:p w14:paraId="3A616C19" w14:textId="68C6731B" w:rsidR="00210D13" w:rsidRPr="00B969E0" w:rsidRDefault="00210D13" w:rsidP="00645CEB">
      <w:pPr>
        <w:pStyle w:val="ListParagraph"/>
        <w:numPr>
          <w:ilvl w:val="2"/>
          <w:numId w:val="18"/>
        </w:numPr>
        <w:rPr>
          <w:rFonts w:asciiTheme="minorHAnsi" w:hAnsiTheme="minorHAnsi" w:cstheme="minorHAnsi"/>
          <w:iCs/>
          <w:lang w:val="en-US"/>
        </w:rPr>
      </w:pPr>
      <w:r w:rsidRPr="00B969E0">
        <w:rPr>
          <w:rFonts w:asciiTheme="minorHAnsi" w:hAnsiTheme="minorHAnsi" w:cstheme="minorHAnsi"/>
          <w:iCs/>
          <w:lang w:val="en-US"/>
        </w:rPr>
        <w:t xml:space="preserve">A declaration by the Accountable Executive must be made to ASQA at the time of appointment and subsequently when submitting applications. </w:t>
      </w:r>
    </w:p>
    <w:p w14:paraId="23B7CD26" w14:textId="77777777" w:rsidR="003E4EE8" w:rsidRPr="003E4EE8" w:rsidRDefault="003E4EE8" w:rsidP="0054607C">
      <w:pPr>
        <w:pStyle w:val="ListParagraph"/>
        <w:ind w:left="1224"/>
        <w:rPr>
          <w:rFonts w:asciiTheme="minorHAnsi" w:hAnsiTheme="minorHAnsi" w:cstheme="minorHAnsi"/>
          <w:b/>
          <w:bCs/>
          <w:iCs/>
          <w:lang w:val="en-US"/>
        </w:rPr>
      </w:pPr>
    </w:p>
    <w:p w14:paraId="08583689" w14:textId="77777777" w:rsidR="003E4EE8" w:rsidRDefault="00210D13" w:rsidP="00F375C5">
      <w:pPr>
        <w:pStyle w:val="ListParagraph"/>
        <w:numPr>
          <w:ilvl w:val="1"/>
          <w:numId w:val="5"/>
        </w:numPr>
        <w:ind w:hanging="792"/>
        <w:rPr>
          <w:rFonts w:asciiTheme="minorHAnsi" w:hAnsiTheme="minorHAnsi" w:cstheme="minorHAnsi"/>
          <w:b/>
          <w:bCs/>
          <w:iCs/>
          <w:lang w:val="en-US"/>
        </w:rPr>
      </w:pPr>
      <w:r>
        <w:rPr>
          <w:rFonts w:asciiTheme="minorHAnsi" w:hAnsiTheme="minorHAnsi" w:cstheme="minorHAnsi"/>
          <w:b/>
          <w:bCs/>
          <w:iCs/>
          <w:lang w:val="en-US"/>
        </w:rPr>
        <w:t>ASQA Requests for Information and Assessments</w:t>
      </w:r>
    </w:p>
    <w:p w14:paraId="0DAF6F56" w14:textId="5F0142D1" w:rsidR="003E4EE8" w:rsidRPr="00B969E0" w:rsidRDefault="00210D13" w:rsidP="00645CEB">
      <w:pPr>
        <w:pStyle w:val="ListParagraph"/>
        <w:numPr>
          <w:ilvl w:val="2"/>
          <w:numId w:val="19"/>
        </w:numPr>
        <w:rPr>
          <w:rFonts w:asciiTheme="minorHAnsi" w:hAnsiTheme="minorHAnsi" w:cstheme="minorHAnsi"/>
          <w:iCs/>
          <w:lang w:val="en-US"/>
        </w:rPr>
      </w:pPr>
      <w:r w:rsidRPr="00B969E0">
        <w:rPr>
          <w:rFonts w:asciiTheme="minorHAnsi" w:hAnsiTheme="minorHAnsi" w:cstheme="minorHAnsi"/>
          <w:iCs/>
          <w:lang w:val="en-US"/>
        </w:rPr>
        <w:t>The Executive Branch Manager, Audit</w:t>
      </w:r>
      <w:r w:rsidR="00087974" w:rsidRPr="00B969E0">
        <w:rPr>
          <w:rFonts w:asciiTheme="minorHAnsi" w:hAnsiTheme="minorHAnsi" w:cstheme="minorHAnsi"/>
          <w:iCs/>
          <w:lang w:val="en-US"/>
        </w:rPr>
        <w:t>, Risk</w:t>
      </w:r>
      <w:r w:rsidRPr="00B969E0">
        <w:rPr>
          <w:rFonts w:asciiTheme="minorHAnsi" w:hAnsiTheme="minorHAnsi" w:cstheme="minorHAnsi"/>
          <w:iCs/>
          <w:lang w:val="en-US"/>
        </w:rPr>
        <w:t xml:space="preserve"> </w:t>
      </w:r>
      <w:r w:rsidR="00AD12EA">
        <w:rPr>
          <w:rFonts w:asciiTheme="minorHAnsi" w:hAnsiTheme="minorHAnsi" w:cstheme="minorHAnsi"/>
          <w:iCs/>
          <w:lang w:val="en-US"/>
        </w:rPr>
        <w:t>and</w:t>
      </w:r>
      <w:r w:rsidRPr="00B969E0">
        <w:rPr>
          <w:rFonts w:asciiTheme="minorHAnsi" w:hAnsiTheme="minorHAnsi" w:cstheme="minorHAnsi"/>
          <w:iCs/>
          <w:lang w:val="en-US"/>
        </w:rPr>
        <w:t xml:space="preserve"> Corporate Governance will ensure that processes are in place to collate information and prepare responses to audits and compliance assessments. </w:t>
      </w:r>
    </w:p>
    <w:p w14:paraId="2017A0A3" w14:textId="4E6D4815" w:rsidR="003E4EE8" w:rsidRPr="00B969E0" w:rsidRDefault="00210D13" w:rsidP="00645CEB">
      <w:pPr>
        <w:pStyle w:val="ListParagraph"/>
        <w:numPr>
          <w:ilvl w:val="2"/>
          <w:numId w:val="19"/>
        </w:numPr>
        <w:rPr>
          <w:rFonts w:asciiTheme="minorHAnsi" w:hAnsiTheme="minorHAnsi" w:cstheme="minorHAnsi"/>
          <w:iCs/>
          <w:lang w:val="en-US"/>
        </w:rPr>
      </w:pPr>
      <w:r w:rsidRPr="00B969E0">
        <w:rPr>
          <w:rFonts w:asciiTheme="minorHAnsi" w:hAnsiTheme="minorHAnsi" w:cstheme="minorHAnsi"/>
          <w:iCs/>
          <w:lang w:val="en-US"/>
        </w:rPr>
        <w:t xml:space="preserve">The Executive Director, Education Futures </w:t>
      </w:r>
      <w:r w:rsidR="00AD12EA">
        <w:rPr>
          <w:rFonts w:asciiTheme="minorHAnsi" w:hAnsiTheme="minorHAnsi" w:cstheme="minorHAnsi"/>
          <w:iCs/>
          <w:lang w:val="en-US"/>
        </w:rPr>
        <w:t>and</w:t>
      </w:r>
      <w:r w:rsidRPr="00B969E0">
        <w:rPr>
          <w:rFonts w:asciiTheme="minorHAnsi" w:hAnsiTheme="minorHAnsi" w:cstheme="minorHAnsi"/>
          <w:iCs/>
          <w:lang w:val="en-US"/>
        </w:rPr>
        <w:t xml:space="preserve"> Students will ensure that processes are in place to collate information and prepare responses to requests for information. </w:t>
      </w:r>
    </w:p>
    <w:p w14:paraId="11EA77F3" w14:textId="499E59B0" w:rsidR="003E4EE8" w:rsidRPr="00B969E0" w:rsidRDefault="00FF332B" w:rsidP="00645CEB">
      <w:pPr>
        <w:pStyle w:val="ListParagraph"/>
        <w:numPr>
          <w:ilvl w:val="2"/>
          <w:numId w:val="19"/>
        </w:numPr>
        <w:rPr>
          <w:rFonts w:asciiTheme="minorHAnsi" w:hAnsiTheme="minorHAnsi" w:cstheme="minorHAnsi"/>
          <w:iCs/>
          <w:lang w:val="en-US"/>
        </w:rPr>
      </w:pPr>
      <w:r w:rsidRPr="00B969E0">
        <w:rPr>
          <w:rFonts w:asciiTheme="minorHAnsi" w:hAnsiTheme="minorHAnsi" w:cstheme="minorHAnsi"/>
          <w:iCs/>
          <w:lang w:val="en-US"/>
        </w:rPr>
        <w:t xml:space="preserve">Audit, Risk </w:t>
      </w:r>
      <w:proofErr w:type="spellStart"/>
      <w:r w:rsidR="00AD12EA">
        <w:rPr>
          <w:rFonts w:asciiTheme="minorHAnsi" w:hAnsiTheme="minorHAnsi" w:cstheme="minorHAnsi"/>
          <w:iCs/>
          <w:lang w:val="en-US"/>
        </w:rPr>
        <w:t>andand</w:t>
      </w:r>
      <w:proofErr w:type="spellEnd"/>
      <w:r w:rsidRPr="00B969E0">
        <w:rPr>
          <w:rFonts w:asciiTheme="minorHAnsi" w:hAnsiTheme="minorHAnsi" w:cstheme="minorHAnsi"/>
          <w:iCs/>
          <w:lang w:val="en-US"/>
        </w:rPr>
        <w:t xml:space="preserve"> Corporate Governance</w:t>
      </w:r>
      <w:r w:rsidR="00890E16" w:rsidRPr="00B969E0">
        <w:rPr>
          <w:rFonts w:asciiTheme="minorHAnsi" w:hAnsiTheme="minorHAnsi" w:cstheme="minorHAnsi"/>
          <w:iCs/>
          <w:lang w:val="en-US"/>
        </w:rPr>
        <w:t xml:space="preserve"> will provide support </w:t>
      </w:r>
      <w:r w:rsidR="00AD12EA">
        <w:rPr>
          <w:rFonts w:asciiTheme="minorHAnsi" w:hAnsiTheme="minorHAnsi" w:cstheme="minorHAnsi"/>
          <w:iCs/>
          <w:lang w:val="en-US"/>
        </w:rPr>
        <w:t>regarding</w:t>
      </w:r>
      <w:r w:rsidR="00890E16" w:rsidRPr="00B969E0">
        <w:rPr>
          <w:rFonts w:asciiTheme="minorHAnsi" w:hAnsiTheme="minorHAnsi" w:cstheme="minorHAnsi"/>
          <w:iCs/>
          <w:lang w:val="en-US"/>
        </w:rPr>
        <w:t xml:space="preserve"> submission of MCNs and responses to regulator requests for information, compliance assessments and audits. </w:t>
      </w:r>
    </w:p>
    <w:p w14:paraId="10E57E34" w14:textId="78159633" w:rsidR="003E4EE8" w:rsidRPr="00B969E0" w:rsidRDefault="00A93170" w:rsidP="00645CEB">
      <w:pPr>
        <w:pStyle w:val="ListParagraph"/>
        <w:numPr>
          <w:ilvl w:val="2"/>
          <w:numId w:val="19"/>
        </w:numPr>
        <w:rPr>
          <w:rFonts w:asciiTheme="minorHAnsi" w:hAnsiTheme="minorHAnsi" w:cstheme="minorHAnsi"/>
          <w:iCs/>
          <w:lang w:val="en-US"/>
        </w:rPr>
      </w:pPr>
      <w:r w:rsidRPr="00B969E0">
        <w:rPr>
          <w:rFonts w:asciiTheme="minorHAnsi" w:hAnsiTheme="minorHAnsi" w:cstheme="minorHAnsi"/>
          <w:iCs/>
          <w:lang w:val="en-US"/>
        </w:rPr>
        <w:t>Responses to regulators must be approved by the CEO prior to submission</w:t>
      </w:r>
      <w:r w:rsidR="00FF332B" w:rsidRPr="00B969E0">
        <w:rPr>
          <w:rFonts w:asciiTheme="minorHAnsi" w:hAnsiTheme="minorHAnsi" w:cstheme="minorHAnsi"/>
          <w:iCs/>
          <w:lang w:val="en-US"/>
        </w:rPr>
        <w:t xml:space="preserve"> via a CIT briefing</w:t>
      </w:r>
    </w:p>
    <w:p w14:paraId="045C92B6" w14:textId="77777777" w:rsidR="006A49A6" w:rsidRDefault="00A93170" w:rsidP="0054607C">
      <w:pPr>
        <w:pStyle w:val="ListParagraph"/>
        <w:numPr>
          <w:ilvl w:val="2"/>
          <w:numId w:val="19"/>
        </w:numPr>
        <w:rPr>
          <w:rFonts w:asciiTheme="minorHAnsi" w:hAnsiTheme="minorHAnsi" w:cstheme="minorHAnsi"/>
          <w:iCs/>
          <w:lang w:val="en-US"/>
        </w:rPr>
      </w:pPr>
      <w:r w:rsidRPr="00B969E0">
        <w:rPr>
          <w:rFonts w:asciiTheme="minorHAnsi" w:hAnsiTheme="minorHAnsi" w:cstheme="minorHAnsi"/>
          <w:iCs/>
          <w:lang w:val="en-US"/>
        </w:rPr>
        <w:t>Accountable Executives will ensure that Governance Committees are informed of MCNs, requests for information, compliance assessments, audits and any outcomes.</w:t>
      </w:r>
    </w:p>
    <w:p w14:paraId="6FEFFBF8" w14:textId="51D21AD7" w:rsidR="00E87770" w:rsidRPr="006A49A6" w:rsidRDefault="00A93170" w:rsidP="006A49A6">
      <w:pPr>
        <w:pStyle w:val="ListParagraph"/>
        <w:ind w:left="1080"/>
        <w:rPr>
          <w:rFonts w:asciiTheme="minorHAnsi" w:hAnsiTheme="minorHAnsi" w:cstheme="minorHAnsi"/>
          <w:iCs/>
          <w:lang w:val="en-US"/>
        </w:rPr>
      </w:pPr>
      <w:r w:rsidRPr="00B969E0">
        <w:rPr>
          <w:rFonts w:asciiTheme="minorHAnsi" w:hAnsiTheme="minorHAnsi" w:cstheme="minorHAnsi"/>
          <w:iCs/>
          <w:lang w:val="en-US"/>
        </w:rPr>
        <w:t xml:space="preserve"> </w:t>
      </w:r>
    </w:p>
    <w:p w14:paraId="5FBB63FB" w14:textId="5AE3954B" w:rsidR="00087974" w:rsidRDefault="00087974" w:rsidP="00F375C5">
      <w:pPr>
        <w:pStyle w:val="ListParagraph"/>
        <w:numPr>
          <w:ilvl w:val="1"/>
          <w:numId w:val="5"/>
        </w:numPr>
        <w:ind w:hanging="792"/>
        <w:rPr>
          <w:rFonts w:asciiTheme="minorHAnsi" w:hAnsiTheme="minorHAnsi" w:cstheme="minorHAnsi"/>
          <w:b/>
          <w:bCs/>
          <w:iCs/>
          <w:lang w:val="en-US"/>
        </w:rPr>
      </w:pPr>
      <w:r>
        <w:rPr>
          <w:rFonts w:asciiTheme="minorHAnsi" w:hAnsiTheme="minorHAnsi" w:cstheme="minorHAnsi"/>
          <w:b/>
          <w:bCs/>
          <w:iCs/>
          <w:lang w:val="en-US"/>
        </w:rPr>
        <w:t xml:space="preserve">Education </w:t>
      </w:r>
      <w:r w:rsidR="00AD12EA">
        <w:rPr>
          <w:rFonts w:asciiTheme="minorHAnsi" w:hAnsiTheme="minorHAnsi" w:cstheme="minorHAnsi"/>
          <w:b/>
          <w:bCs/>
          <w:iCs/>
          <w:lang w:val="en-US"/>
        </w:rPr>
        <w:t>and</w:t>
      </w:r>
      <w:r>
        <w:rPr>
          <w:rFonts w:asciiTheme="minorHAnsi" w:hAnsiTheme="minorHAnsi" w:cstheme="minorHAnsi"/>
          <w:b/>
          <w:bCs/>
          <w:iCs/>
          <w:lang w:val="en-US"/>
        </w:rPr>
        <w:t xml:space="preserve"> Training Needs</w:t>
      </w:r>
    </w:p>
    <w:p w14:paraId="45EBCF36" w14:textId="5C562B7B" w:rsidR="00BC0D3B" w:rsidRPr="00B969E0" w:rsidRDefault="00BC0D3B" w:rsidP="00645CEB">
      <w:pPr>
        <w:pStyle w:val="ListParagraph"/>
        <w:numPr>
          <w:ilvl w:val="2"/>
          <w:numId w:val="20"/>
        </w:numPr>
        <w:rPr>
          <w:rFonts w:asciiTheme="minorHAnsi" w:hAnsiTheme="minorHAnsi" w:cstheme="minorHAnsi"/>
          <w:iCs/>
          <w:lang w:val="en-US"/>
        </w:rPr>
      </w:pPr>
      <w:r w:rsidRPr="00B969E0">
        <w:rPr>
          <w:rFonts w:asciiTheme="minorHAnsi" w:hAnsiTheme="minorHAnsi" w:cstheme="minorHAnsi"/>
          <w:iCs/>
          <w:lang w:val="en-US"/>
        </w:rPr>
        <w:t xml:space="preserve">Training on the legislation and regulatory compliance obligations will be provided to all staff. </w:t>
      </w:r>
    </w:p>
    <w:p w14:paraId="55FCD420" w14:textId="4BAD4EC3" w:rsidR="00BC0D3B" w:rsidRPr="00B969E0" w:rsidRDefault="00BC0D3B" w:rsidP="00645CEB">
      <w:pPr>
        <w:pStyle w:val="ListParagraph"/>
        <w:numPr>
          <w:ilvl w:val="2"/>
          <w:numId w:val="20"/>
        </w:numPr>
        <w:rPr>
          <w:rFonts w:asciiTheme="minorHAnsi" w:hAnsiTheme="minorHAnsi" w:cstheme="minorHAnsi"/>
          <w:iCs/>
          <w:lang w:val="en-US"/>
        </w:rPr>
      </w:pPr>
      <w:r w:rsidRPr="00B969E0">
        <w:rPr>
          <w:rFonts w:asciiTheme="minorHAnsi" w:hAnsiTheme="minorHAnsi" w:cstheme="minorHAnsi"/>
          <w:iCs/>
          <w:lang w:val="en-US"/>
        </w:rPr>
        <w:t xml:space="preserve">Intensive training on specific obligations </w:t>
      </w:r>
      <w:r w:rsidR="00BF636A">
        <w:rPr>
          <w:rFonts w:asciiTheme="minorHAnsi" w:hAnsiTheme="minorHAnsi" w:cstheme="minorHAnsi"/>
          <w:iCs/>
          <w:lang w:val="en-US"/>
        </w:rPr>
        <w:t xml:space="preserve">and the self-assurance system </w:t>
      </w:r>
      <w:r w:rsidRPr="00B969E0">
        <w:rPr>
          <w:rFonts w:asciiTheme="minorHAnsi" w:hAnsiTheme="minorHAnsi" w:cstheme="minorHAnsi"/>
          <w:iCs/>
          <w:lang w:val="en-US"/>
        </w:rPr>
        <w:t xml:space="preserve">for individual roles will be provide during on-boarding by the appropriate business area director or manager. </w:t>
      </w:r>
    </w:p>
    <w:p w14:paraId="1B82932B" w14:textId="4635B5AE" w:rsidR="00BC0D3B" w:rsidRPr="00B969E0" w:rsidRDefault="00BC0D3B" w:rsidP="00645CEB">
      <w:pPr>
        <w:pStyle w:val="ListParagraph"/>
        <w:numPr>
          <w:ilvl w:val="2"/>
          <w:numId w:val="20"/>
        </w:numPr>
        <w:rPr>
          <w:rFonts w:asciiTheme="minorHAnsi" w:hAnsiTheme="minorHAnsi" w:cstheme="minorHAnsi"/>
          <w:iCs/>
          <w:lang w:val="en-US"/>
        </w:rPr>
      </w:pPr>
      <w:r w:rsidRPr="00B969E0">
        <w:rPr>
          <w:rFonts w:asciiTheme="minorHAnsi" w:hAnsiTheme="minorHAnsi" w:cstheme="minorHAnsi"/>
          <w:iCs/>
          <w:lang w:val="en-US"/>
        </w:rPr>
        <w:t>Opportunities for staff to improve their understanding will be explored between the staff member and the line manager.</w:t>
      </w:r>
    </w:p>
    <w:p w14:paraId="100E387B" w14:textId="77777777" w:rsidR="00E87770" w:rsidRDefault="00E87770" w:rsidP="0054607C">
      <w:pPr>
        <w:pStyle w:val="ListParagraph"/>
        <w:ind w:left="1224"/>
        <w:rPr>
          <w:rFonts w:asciiTheme="minorHAnsi" w:hAnsiTheme="minorHAnsi" w:cstheme="minorHAnsi"/>
          <w:iCs/>
          <w:lang w:val="en-US"/>
        </w:rPr>
      </w:pPr>
    </w:p>
    <w:p w14:paraId="0ECA702C" w14:textId="1388CD34" w:rsidR="00BC0D3B" w:rsidRPr="004F1B3A" w:rsidRDefault="00BC0D3B" w:rsidP="00F375C5">
      <w:pPr>
        <w:pStyle w:val="ListParagraph"/>
        <w:numPr>
          <w:ilvl w:val="1"/>
          <w:numId w:val="5"/>
        </w:numPr>
        <w:ind w:hanging="792"/>
        <w:rPr>
          <w:rFonts w:asciiTheme="minorHAnsi" w:hAnsiTheme="minorHAnsi" w:cstheme="minorHAnsi"/>
          <w:b/>
          <w:bCs/>
          <w:iCs/>
          <w:lang w:val="en-US"/>
        </w:rPr>
      </w:pPr>
      <w:r w:rsidRPr="004F1B3A">
        <w:rPr>
          <w:rFonts w:asciiTheme="minorHAnsi" w:hAnsiTheme="minorHAnsi" w:cstheme="minorHAnsi"/>
          <w:b/>
          <w:bCs/>
          <w:iCs/>
          <w:lang w:val="en-US"/>
        </w:rPr>
        <w:t>Controls</w:t>
      </w:r>
    </w:p>
    <w:p w14:paraId="5ED44C03" w14:textId="48025B41" w:rsidR="008A0D03" w:rsidRDefault="00242DB6" w:rsidP="00645CEB">
      <w:pPr>
        <w:pStyle w:val="ListParagraph"/>
        <w:numPr>
          <w:ilvl w:val="2"/>
          <w:numId w:val="21"/>
        </w:numPr>
        <w:rPr>
          <w:rFonts w:asciiTheme="minorHAnsi" w:hAnsiTheme="minorHAnsi" w:cstheme="minorHAnsi"/>
          <w:iCs/>
          <w:lang w:val="en-US"/>
        </w:rPr>
      </w:pPr>
      <w:r>
        <w:rPr>
          <w:rFonts w:asciiTheme="minorHAnsi" w:hAnsiTheme="minorHAnsi" w:cstheme="minorHAnsi"/>
          <w:iCs/>
          <w:lang w:val="en-US"/>
        </w:rPr>
        <w:t>All compliance obligations will be recorded on the Compliance Obligations Register, held by Audit, Risk and Corporate Governance</w:t>
      </w:r>
      <w:r w:rsidR="00AD12EA">
        <w:rPr>
          <w:rFonts w:asciiTheme="minorHAnsi" w:hAnsiTheme="minorHAnsi" w:cstheme="minorHAnsi"/>
          <w:iCs/>
          <w:lang w:val="en-US"/>
        </w:rPr>
        <w:t>, and local Compliance Obligations Registers held by relevant teams</w:t>
      </w:r>
      <w:r>
        <w:rPr>
          <w:rFonts w:asciiTheme="minorHAnsi" w:hAnsiTheme="minorHAnsi" w:cstheme="minorHAnsi"/>
          <w:iCs/>
          <w:lang w:val="en-US"/>
        </w:rPr>
        <w:t xml:space="preserve">. </w:t>
      </w:r>
    </w:p>
    <w:p w14:paraId="5D7F790B" w14:textId="1F1299E0" w:rsidR="00242DB6" w:rsidRPr="006A49A6" w:rsidRDefault="00242DB6" w:rsidP="00645CEB">
      <w:pPr>
        <w:pStyle w:val="ListParagraph"/>
        <w:numPr>
          <w:ilvl w:val="2"/>
          <w:numId w:val="21"/>
        </w:numPr>
        <w:rPr>
          <w:rFonts w:asciiTheme="minorHAnsi" w:hAnsiTheme="minorHAnsi" w:cstheme="minorHAnsi"/>
          <w:iCs/>
          <w:lang w:val="en-US"/>
        </w:rPr>
      </w:pPr>
      <w:r w:rsidRPr="4EC1F082">
        <w:rPr>
          <w:rFonts w:asciiTheme="minorHAnsi" w:hAnsiTheme="minorHAnsi" w:cstheme="minorBidi"/>
          <w:lang w:val="en-US"/>
        </w:rPr>
        <w:t xml:space="preserve">Annual reporting required by the CIT Compliance Framework will be completed by operational areas and managed by Audit, Risk and Corporate Governance. </w:t>
      </w:r>
    </w:p>
    <w:p w14:paraId="78E77139" w14:textId="77777777" w:rsidR="006A49A6" w:rsidRPr="004F1B3A" w:rsidRDefault="006A49A6" w:rsidP="006A49A6">
      <w:pPr>
        <w:pStyle w:val="ListParagraph"/>
        <w:ind w:left="1080"/>
        <w:rPr>
          <w:rFonts w:asciiTheme="minorHAnsi" w:hAnsiTheme="minorHAnsi" w:cstheme="minorHAnsi"/>
          <w:iCs/>
          <w:lang w:val="en-US"/>
        </w:rPr>
      </w:pPr>
    </w:p>
    <w:p w14:paraId="4707F603" w14:textId="77777777" w:rsidR="00392F3F" w:rsidRDefault="00392F3F" w:rsidP="00F375C5">
      <w:pPr>
        <w:pStyle w:val="ListParagraph"/>
        <w:numPr>
          <w:ilvl w:val="1"/>
          <w:numId w:val="5"/>
        </w:numPr>
        <w:ind w:hanging="792"/>
        <w:rPr>
          <w:rFonts w:asciiTheme="minorHAnsi" w:hAnsiTheme="minorHAnsi" w:cstheme="minorHAnsi"/>
          <w:b/>
          <w:bCs/>
          <w:iCs/>
          <w:lang w:val="en-US"/>
        </w:rPr>
      </w:pPr>
      <w:r>
        <w:rPr>
          <w:rFonts w:asciiTheme="minorHAnsi" w:hAnsiTheme="minorHAnsi" w:cstheme="minorHAnsi"/>
          <w:b/>
          <w:bCs/>
          <w:iCs/>
          <w:lang w:val="en-US"/>
        </w:rPr>
        <w:t>Evidence</w:t>
      </w:r>
    </w:p>
    <w:p w14:paraId="1D9E8280" w14:textId="1BEC44F5" w:rsidR="00392F3F" w:rsidRPr="00B52DA4" w:rsidRDefault="00392F3F" w:rsidP="00B52DA4">
      <w:pPr>
        <w:pStyle w:val="ListParagraph"/>
        <w:numPr>
          <w:ilvl w:val="2"/>
          <w:numId w:val="25"/>
        </w:numPr>
        <w:rPr>
          <w:rFonts w:asciiTheme="minorHAnsi" w:hAnsiTheme="minorHAnsi" w:cstheme="minorHAnsi"/>
          <w:iCs/>
          <w:lang w:val="en-US"/>
        </w:rPr>
      </w:pPr>
      <w:r w:rsidRPr="00B52DA4">
        <w:rPr>
          <w:rFonts w:asciiTheme="minorHAnsi" w:hAnsiTheme="minorHAnsi" w:cstheme="minorHAnsi"/>
          <w:iCs/>
          <w:lang w:val="en-US"/>
        </w:rPr>
        <w:t>All compliance with RTO obligations must be demonstrated with sufficient documentary evidence which may include (but is not limited to):</w:t>
      </w:r>
    </w:p>
    <w:p w14:paraId="1BF10A3F" w14:textId="266FAEDB" w:rsidR="00392F3F" w:rsidRPr="00B52DA4" w:rsidRDefault="00392F3F" w:rsidP="00392F3F">
      <w:pPr>
        <w:pStyle w:val="ListParagraph"/>
        <w:numPr>
          <w:ilvl w:val="1"/>
          <w:numId w:val="24"/>
        </w:numPr>
        <w:rPr>
          <w:rFonts w:asciiTheme="minorHAnsi" w:hAnsiTheme="minorHAnsi" w:cstheme="minorHAnsi"/>
          <w:iCs/>
          <w:lang w:val="en-US"/>
        </w:rPr>
      </w:pPr>
      <w:r w:rsidRPr="00B52DA4">
        <w:rPr>
          <w:rFonts w:asciiTheme="minorHAnsi" w:hAnsiTheme="minorHAnsi" w:cstheme="minorHAnsi"/>
          <w:iCs/>
          <w:lang w:val="en-US"/>
        </w:rPr>
        <w:t>Committee minutes</w:t>
      </w:r>
    </w:p>
    <w:p w14:paraId="7E1B3EC7" w14:textId="7C462687" w:rsidR="00392F3F" w:rsidRPr="00B52DA4" w:rsidRDefault="00392F3F" w:rsidP="00392F3F">
      <w:pPr>
        <w:pStyle w:val="ListParagraph"/>
        <w:numPr>
          <w:ilvl w:val="1"/>
          <w:numId w:val="24"/>
        </w:numPr>
        <w:rPr>
          <w:rFonts w:asciiTheme="minorHAnsi" w:hAnsiTheme="minorHAnsi" w:cstheme="minorHAnsi"/>
          <w:iCs/>
          <w:lang w:val="en-US"/>
        </w:rPr>
      </w:pPr>
      <w:r w:rsidRPr="00B52DA4">
        <w:rPr>
          <w:rFonts w:asciiTheme="minorHAnsi" w:hAnsiTheme="minorHAnsi" w:cstheme="minorHAnsi"/>
          <w:iCs/>
          <w:lang w:val="en-US"/>
        </w:rPr>
        <w:t>Signed statutory declaration</w:t>
      </w:r>
    </w:p>
    <w:p w14:paraId="0CD4A160" w14:textId="678CE820" w:rsidR="00392F3F" w:rsidRPr="00B52DA4" w:rsidRDefault="00392F3F" w:rsidP="00392F3F">
      <w:pPr>
        <w:pStyle w:val="ListParagraph"/>
        <w:numPr>
          <w:ilvl w:val="1"/>
          <w:numId w:val="24"/>
        </w:numPr>
        <w:rPr>
          <w:rFonts w:asciiTheme="minorHAnsi" w:hAnsiTheme="minorHAnsi" w:cstheme="minorHAnsi"/>
          <w:iCs/>
          <w:lang w:val="en-US"/>
        </w:rPr>
      </w:pPr>
      <w:r w:rsidRPr="00B52DA4">
        <w:rPr>
          <w:rFonts w:asciiTheme="minorHAnsi" w:hAnsiTheme="minorHAnsi" w:cstheme="minorHAnsi"/>
          <w:iCs/>
          <w:lang w:val="en-US"/>
        </w:rPr>
        <w:t>Signed briefing</w:t>
      </w:r>
    </w:p>
    <w:p w14:paraId="7909C01A" w14:textId="39A0D019" w:rsidR="00392F3F" w:rsidRDefault="00392F3F" w:rsidP="00392F3F">
      <w:pPr>
        <w:pStyle w:val="ListParagraph"/>
        <w:numPr>
          <w:ilvl w:val="1"/>
          <w:numId w:val="24"/>
        </w:numPr>
        <w:rPr>
          <w:rFonts w:asciiTheme="minorHAnsi" w:hAnsiTheme="minorHAnsi" w:cstheme="minorHAnsi"/>
          <w:iCs/>
          <w:lang w:val="en-US"/>
        </w:rPr>
      </w:pPr>
      <w:r w:rsidRPr="00B52DA4">
        <w:rPr>
          <w:rFonts w:asciiTheme="minorHAnsi" w:hAnsiTheme="minorHAnsi" w:cstheme="minorHAnsi"/>
          <w:iCs/>
          <w:lang w:val="en-US"/>
        </w:rPr>
        <w:t>Completed ASQA form</w:t>
      </w:r>
    </w:p>
    <w:p w14:paraId="1E24B8A6" w14:textId="2AE09199" w:rsidR="00392F3F" w:rsidRPr="00B52DA4" w:rsidRDefault="00392F3F" w:rsidP="00B52DA4">
      <w:pPr>
        <w:pStyle w:val="ListParagraph"/>
        <w:numPr>
          <w:ilvl w:val="0"/>
          <w:numId w:val="24"/>
        </w:numPr>
        <w:rPr>
          <w:rFonts w:asciiTheme="minorHAnsi" w:hAnsiTheme="minorHAnsi" w:cstheme="minorHAnsi"/>
          <w:iCs/>
          <w:lang w:val="en-US"/>
        </w:rPr>
      </w:pPr>
      <w:r w:rsidRPr="5588621F">
        <w:rPr>
          <w:rFonts w:asciiTheme="minorHAnsi" w:hAnsiTheme="minorHAnsi" w:cstheme="minorBidi"/>
          <w:lang w:val="en-US"/>
        </w:rPr>
        <w:t xml:space="preserve">All evidence must be stored in TRIM as per the CIT Records Management Policy. </w:t>
      </w:r>
    </w:p>
    <w:p w14:paraId="5EA78243" w14:textId="585DA852" w:rsidR="00392F3F" w:rsidRDefault="00392F3F" w:rsidP="00B52DA4">
      <w:pPr>
        <w:pStyle w:val="ListParagraph"/>
        <w:ind w:left="1440"/>
        <w:rPr>
          <w:rFonts w:asciiTheme="minorHAnsi" w:hAnsiTheme="minorHAnsi" w:cstheme="minorHAnsi"/>
          <w:b/>
          <w:bCs/>
          <w:iCs/>
          <w:lang w:val="en-US"/>
        </w:rPr>
      </w:pPr>
    </w:p>
    <w:p w14:paraId="1BF3126E" w14:textId="52C768AF" w:rsidR="00BC0D3B" w:rsidRPr="004F1B3A" w:rsidRDefault="00BC0D3B" w:rsidP="00B52DA4">
      <w:pPr>
        <w:pStyle w:val="ListParagraph"/>
        <w:numPr>
          <w:ilvl w:val="1"/>
          <w:numId w:val="5"/>
        </w:numPr>
        <w:ind w:hanging="792"/>
        <w:rPr>
          <w:rFonts w:asciiTheme="minorHAnsi" w:hAnsiTheme="minorHAnsi" w:cstheme="minorHAnsi"/>
          <w:b/>
          <w:bCs/>
          <w:iCs/>
          <w:lang w:val="en-US"/>
        </w:rPr>
      </w:pPr>
      <w:r w:rsidRPr="5588621F">
        <w:rPr>
          <w:rFonts w:asciiTheme="minorHAnsi" w:hAnsiTheme="minorHAnsi" w:cstheme="minorBidi"/>
          <w:b/>
          <w:bCs/>
          <w:lang w:val="en-US"/>
        </w:rPr>
        <w:t>Communication</w:t>
      </w:r>
    </w:p>
    <w:p w14:paraId="19451C07" w14:textId="5BEF86CA" w:rsidR="00BC0D3B" w:rsidRDefault="00BC0D3B" w:rsidP="00645CEB">
      <w:pPr>
        <w:pStyle w:val="ListParagraph"/>
        <w:numPr>
          <w:ilvl w:val="2"/>
          <w:numId w:val="22"/>
        </w:numPr>
        <w:rPr>
          <w:rFonts w:asciiTheme="minorHAnsi" w:hAnsiTheme="minorHAnsi" w:cstheme="minorHAnsi"/>
          <w:iCs/>
          <w:lang w:val="en-US"/>
        </w:rPr>
      </w:pPr>
      <w:r>
        <w:rPr>
          <w:rFonts w:asciiTheme="minorHAnsi" w:hAnsiTheme="minorHAnsi" w:cstheme="minorHAnsi"/>
          <w:iCs/>
          <w:lang w:val="en-US"/>
        </w:rPr>
        <w:t xml:space="preserve">The Executive Branch Manager, Audit, Risk and Corporate Governance will communicate changes to </w:t>
      </w:r>
      <w:r w:rsidR="00AD12EA">
        <w:rPr>
          <w:rFonts w:asciiTheme="minorHAnsi" w:hAnsiTheme="minorHAnsi" w:cstheme="minorHAnsi"/>
          <w:iCs/>
          <w:lang w:val="en-US"/>
        </w:rPr>
        <w:t xml:space="preserve">the </w:t>
      </w:r>
      <w:r>
        <w:rPr>
          <w:rFonts w:asciiTheme="minorHAnsi" w:hAnsiTheme="minorHAnsi" w:cstheme="minorHAnsi"/>
          <w:iCs/>
          <w:lang w:val="en-US"/>
        </w:rPr>
        <w:t xml:space="preserve">Standards or ASQA materials to the relevant business areas. </w:t>
      </w:r>
    </w:p>
    <w:p w14:paraId="3B55F586" w14:textId="2696866B" w:rsidR="00BC0D3B" w:rsidRDefault="00BC0D3B" w:rsidP="00645CEB">
      <w:pPr>
        <w:pStyle w:val="ListParagraph"/>
        <w:numPr>
          <w:ilvl w:val="2"/>
          <w:numId w:val="22"/>
        </w:numPr>
        <w:rPr>
          <w:rFonts w:asciiTheme="minorHAnsi" w:hAnsiTheme="minorHAnsi" w:cstheme="minorHAnsi"/>
          <w:iCs/>
          <w:lang w:val="en-US"/>
        </w:rPr>
      </w:pPr>
      <w:r>
        <w:rPr>
          <w:rFonts w:asciiTheme="minorHAnsi" w:hAnsiTheme="minorHAnsi" w:cstheme="minorHAnsi"/>
          <w:iCs/>
          <w:lang w:val="en-US"/>
        </w:rPr>
        <w:t xml:space="preserve">The </w:t>
      </w:r>
      <w:r w:rsidR="00BF636A">
        <w:rPr>
          <w:rFonts w:asciiTheme="minorHAnsi" w:hAnsiTheme="minorHAnsi" w:cstheme="minorHAnsi"/>
          <w:iCs/>
          <w:lang w:val="en-US"/>
        </w:rPr>
        <w:t>Education Design and Delivery Lead</w:t>
      </w:r>
      <w:r>
        <w:rPr>
          <w:rFonts w:asciiTheme="minorHAnsi" w:hAnsiTheme="minorHAnsi" w:cstheme="minorHAnsi"/>
          <w:iCs/>
          <w:lang w:val="en-US"/>
        </w:rPr>
        <w:t xml:space="preserve"> will communicate changes and their impacts relating to any assessment and training standard or ASQA material to all educators and other relevant staff.</w:t>
      </w:r>
    </w:p>
    <w:p w14:paraId="7F37CAC1" w14:textId="25F58E78" w:rsidR="00BC0D3B" w:rsidRDefault="00BC0D3B" w:rsidP="00645CEB">
      <w:pPr>
        <w:pStyle w:val="ListParagraph"/>
        <w:numPr>
          <w:ilvl w:val="2"/>
          <w:numId w:val="22"/>
        </w:numPr>
        <w:rPr>
          <w:rFonts w:asciiTheme="minorHAnsi" w:hAnsiTheme="minorHAnsi" w:cstheme="minorHAnsi"/>
          <w:iCs/>
          <w:lang w:val="en-US"/>
        </w:rPr>
      </w:pPr>
      <w:r>
        <w:rPr>
          <w:rFonts w:asciiTheme="minorHAnsi" w:hAnsiTheme="minorHAnsi" w:cstheme="minorHAnsi"/>
          <w:iCs/>
          <w:lang w:val="en-US"/>
        </w:rPr>
        <w:t xml:space="preserve">All changes will also be communicated via the CIT Newsfeed. </w:t>
      </w:r>
    </w:p>
    <w:p w14:paraId="4A9D95D7" w14:textId="77777777" w:rsidR="00017E07" w:rsidRDefault="00017E07" w:rsidP="0054607C">
      <w:pPr>
        <w:pStyle w:val="ListParagraph"/>
        <w:ind w:left="1224"/>
        <w:rPr>
          <w:rFonts w:asciiTheme="minorHAnsi" w:hAnsiTheme="minorHAnsi" w:cstheme="minorHAnsi"/>
          <w:iCs/>
          <w:lang w:val="en-US"/>
        </w:rPr>
      </w:pPr>
    </w:p>
    <w:p w14:paraId="294B7A6C" w14:textId="0DA0CC2B" w:rsidR="00FF332B" w:rsidRDefault="00017E07" w:rsidP="00B52DA4">
      <w:pPr>
        <w:pStyle w:val="ListParagraph"/>
        <w:numPr>
          <w:ilvl w:val="1"/>
          <w:numId w:val="5"/>
        </w:numPr>
        <w:ind w:hanging="792"/>
        <w:rPr>
          <w:rFonts w:asciiTheme="minorHAnsi" w:hAnsiTheme="minorHAnsi" w:cstheme="minorHAnsi"/>
          <w:b/>
          <w:bCs/>
          <w:iCs/>
          <w:lang w:val="en-US"/>
        </w:rPr>
      </w:pPr>
      <w:r w:rsidRPr="5588621F">
        <w:rPr>
          <w:rFonts w:asciiTheme="minorHAnsi" w:hAnsiTheme="minorHAnsi" w:cstheme="minorBidi"/>
          <w:b/>
          <w:bCs/>
          <w:lang w:val="en-US"/>
        </w:rPr>
        <w:t>Notification of a Breach</w:t>
      </w:r>
    </w:p>
    <w:p w14:paraId="0E2FDA16" w14:textId="3036E3E8" w:rsidR="00017E07" w:rsidRPr="00B969E0" w:rsidRDefault="00017E07" w:rsidP="00645CEB">
      <w:pPr>
        <w:pStyle w:val="ListParagraph"/>
        <w:numPr>
          <w:ilvl w:val="2"/>
          <w:numId w:val="23"/>
        </w:numPr>
        <w:rPr>
          <w:rFonts w:asciiTheme="minorHAnsi" w:hAnsiTheme="minorHAnsi" w:cstheme="minorHAnsi"/>
          <w:iCs/>
          <w:lang w:val="en-US"/>
        </w:rPr>
      </w:pPr>
      <w:r w:rsidRPr="00B969E0">
        <w:rPr>
          <w:rFonts w:asciiTheme="minorHAnsi" w:hAnsiTheme="minorHAnsi" w:cstheme="minorHAnsi"/>
          <w:iCs/>
          <w:lang w:val="en-US"/>
        </w:rPr>
        <w:t xml:space="preserve">Where an incident of non-compliance with a practice or procedure is identified, the breach must be reported to the relevant Compliance Officer within the business area. </w:t>
      </w:r>
    </w:p>
    <w:p w14:paraId="20758CFD" w14:textId="5FD7F601" w:rsidR="00017E07" w:rsidRPr="00B969E0" w:rsidRDefault="00017E07" w:rsidP="00645CEB">
      <w:pPr>
        <w:pStyle w:val="ListParagraph"/>
        <w:numPr>
          <w:ilvl w:val="2"/>
          <w:numId w:val="23"/>
        </w:numPr>
        <w:rPr>
          <w:rFonts w:asciiTheme="minorHAnsi" w:hAnsiTheme="minorHAnsi" w:cstheme="minorHAnsi"/>
          <w:iCs/>
          <w:lang w:val="en-US"/>
        </w:rPr>
      </w:pPr>
      <w:r w:rsidRPr="00B969E0">
        <w:rPr>
          <w:rFonts w:asciiTheme="minorHAnsi" w:hAnsiTheme="minorHAnsi" w:cstheme="minorHAnsi"/>
          <w:iCs/>
          <w:lang w:val="en-US"/>
        </w:rPr>
        <w:t>The notification must include date of identification, description of the breach, and rectification actions</w:t>
      </w:r>
      <w:r w:rsidR="004C1966" w:rsidRPr="00B969E0">
        <w:rPr>
          <w:rFonts w:asciiTheme="minorHAnsi" w:hAnsiTheme="minorHAnsi" w:cstheme="minorHAnsi"/>
          <w:iCs/>
          <w:lang w:val="en-US"/>
        </w:rPr>
        <w:t>.</w:t>
      </w:r>
    </w:p>
    <w:p w14:paraId="2499C4E7" w14:textId="24F640DE" w:rsidR="00132B93" w:rsidRPr="00B969E0" w:rsidRDefault="00132B93" w:rsidP="00645CEB">
      <w:pPr>
        <w:pStyle w:val="ListParagraph"/>
        <w:numPr>
          <w:ilvl w:val="2"/>
          <w:numId w:val="23"/>
        </w:numPr>
        <w:rPr>
          <w:rFonts w:asciiTheme="minorHAnsi" w:hAnsiTheme="minorHAnsi" w:cstheme="minorHAnsi"/>
          <w:iCs/>
          <w:lang w:val="en-US"/>
        </w:rPr>
      </w:pPr>
      <w:r w:rsidRPr="00B969E0">
        <w:rPr>
          <w:rFonts w:asciiTheme="minorHAnsi" w:hAnsiTheme="minorHAnsi" w:cstheme="minorHAnsi"/>
          <w:iCs/>
          <w:lang w:val="en-US"/>
        </w:rPr>
        <w:t>Where</w:t>
      </w:r>
      <w:r w:rsidR="004C1966" w:rsidRPr="00B969E0">
        <w:rPr>
          <w:rFonts w:asciiTheme="minorHAnsi" w:hAnsiTheme="minorHAnsi" w:cstheme="minorHAnsi"/>
          <w:iCs/>
          <w:lang w:val="en-US"/>
        </w:rPr>
        <w:t xml:space="preserve"> there are multiple breaches identified relating to a program, an audit will be enacted to determine if the program should be permitted to continue and the impact on students. </w:t>
      </w:r>
    </w:p>
    <w:p w14:paraId="5D917B39" w14:textId="26F85A62" w:rsidR="00495BA1" w:rsidRPr="00B969E0" w:rsidRDefault="00495BA1" w:rsidP="00645CEB">
      <w:pPr>
        <w:pStyle w:val="ListParagraph"/>
        <w:numPr>
          <w:ilvl w:val="2"/>
          <w:numId w:val="23"/>
        </w:numPr>
        <w:rPr>
          <w:rFonts w:asciiTheme="minorHAnsi" w:hAnsiTheme="minorHAnsi" w:cstheme="minorHAnsi"/>
          <w:iCs/>
          <w:lang w:val="en-US"/>
        </w:rPr>
      </w:pPr>
      <w:r w:rsidRPr="00B969E0">
        <w:rPr>
          <w:rFonts w:asciiTheme="minorHAnsi" w:hAnsiTheme="minorHAnsi" w:cstheme="minorHAnsi"/>
          <w:iCs/>
          <w:lang w:val="en-US"/>
        </w:rPr>
        <w:t xml:space="preserve">Non-compliance with a Standard or Sub-Clause must be reported to the Executive Branch Manager, Audit, Risk and Corporate Governance for consideration under the Compliance Framework. </w:t>
      </w:r>
    </w:p>
    <w:p w14:paraId="545CF7F1" w14:textId="77777777" w:rsidR="00017E07" w:rsidRPr="004F1B3A" w:rsidRDefault="00017E07" w:rsidP="00017E07">
      <w:pPr>
        <w:rPr>
          <w:rFonts w:asciiTheme="minorHAnsi" w:hAnsiTheme="minorHAnsi" w:cstheme="minorHAnsi"/>
          <w:b/>
          <w:bCs/>
          <w:iCs/>
          <w:lang w:val="en-US"/>
        </w:rPr>
      </w:pPr>
    </w:p>
    <w:p w14:paraId="347A85B5" w14:textId="77777777" w:rsidR="00242DB6" w:rsidRDefault="00242DB6">
      <w:pPr>
        <w:rPr>
          <w:rFonts w:asciiTheme="minorHAnsi" w:hAnsiTheme="minorHAnsi" w:cstheme="minorHAnsi"/>
          <w:b/>
          <w:bCs/>
          <w:iCs/>
          <w:lang w:val="en-US"/>
        </w:rPr>
      </w:pPr>
      <w:r>
        <w:rPr>
          <w:rFonts w:asciiTheme="minorHAnsi" w:hAnsiTheme="minorHAnsi" w:cstheme="minorHAnsi"/>
          <w:b/>
          <w:bCs/>
          <w:iCs/>
          <w:lang w:val="en-US"/>
        </w:rPr>
        <w:br w:type="page"/>
      </w:r>
    </w:p>
    <w:p w14:paraId="17CD6B63" w14:textId="7ECA5DB9" w:rsidR="00FF332B" w:rsidRDefault="00FF332B">
      <w:pPr>
        <w:rPr>
          <w:rFonts w:asciiTheme="minorHAnsi" w:hAnsiTheme="minorHAnsi" w:cstheme="minorHAnsi"/>
          <w:b/>
          <w:bCs/>
          <w:iCs/>
          <w:lang w:val="en-US"/>
        </w:rPr>
      </w:pPr>
      <w:r>
        <w:rPr>
          <w:rFonts w:asciiTheme="minorHAnsi" w:hAnsiTheme="minorHAnsi" w:cstheme="minorHAnsi"/>
          <w:b/>
          <w:bCs/>
          <w:iCs/>
          <w:lang w:val="en-US"/>
        </w:rPr>
        <w:t>Schedule 1</w:t>
      </w:r>
    </w:p>
    <w:p w14:paraId="1B8ED67A" w14:textId="77777777" w:rsidR="00FF332B" w:rsidRDefault="00FF332B">
      <w:pPr>
        <w:rPr>
          <w:rFonts w:asciiTheme="minorHAnsi" w:hAnsiTheme="minorHAnsi" w:cstheme="minorHAnsi"/>
          <w:b/>
          <w:bCs/>
          <w:iCs/>
          <w:lang w:val="en-US"/>
        </w:rPr>
      </w:pPr>
    </w:p>
    <w:tbl>
      <w:tblPr>
        <w:tblStyle w:val="TableGrid"/>
        <w:tblW w:w="0" w:type="auto"/>
        <w:tblLook w:val="04A0" w:firstRow="1" w:lastRow="0" w:firstColumn="1" w:lastColumn="0" w:noHBand="0" w:noVBand="1"/>
      </w:tblPr>
      <w:tblGrid>
        <w:gridCol w:w="4686"/>
        <w:gridCol w:w="4686"/>
      </w:tblGrid>
      <w:tr w:rsidR="00242DB6" w14:paraId="25FF3F53" w14:textId="77777777" w:rsidTr="00242DB6">
        <w:tc>
          <w:tcPr>
            <w:tcW w:w="4686" w:type="dxa"/>
          </w:tcPr>
          <w:p w14:paraId="26422768" w14:textId="58E22953" w:rsidR="00242DB6" w:rsidRPr="004F1B3A" w:rsidRDefault="00242DB6">
            <w:pPr>
              <w:rPr>
                <w:rFonts w:asciiTheme="minorHAnsi" w:hAnsiTheme="minorHAnsi" w:cstheme="minorHAnsi"/>
                <w:b/>
                <w:bCs/>
                <w:sz w:val="22"/>
                <w:szCs w:val="22"/>
                <w:lang w:val="en-US"/>
              </w:rPr>
            </w:pPr>
            <w:r w:rsidRPr="004F1B3A">
              <w:rPr>
                <w:rFonts w:asciiTheme="minorHAnsi" w:hAnsiTheme="minorHAnsi" w:cstheme="minorHAnsi"/>
                <w:b/>
                <w:bCs/>
                <w:sz w:val="22"/>
                <w:szCs w:val="22"/>
                <w:lang w:val="en-US"/>
              </w:rPr>
              <w:t>Type of Material Change Notification</w:t>
            </w:r>
          </w:p>
        </w:tc>
        <w:tc>
          <w:tcPr>
            <w:tcW w:w="4686" w:type="dxa"/>
          </w:tcPr>
          <w:p w14:paraId="52EE960C" w14:textId="675F7D64" w:rsidR="00242DB6" w:rsidRPr="004F1B3A" w:rsidRDefault="00242DB6">
            <w:pPr>
              <w:rPr>
                <w:rFonts w:asciiTheme="minorHAnsi" w:hAnsiTheme="minorHAnsi" w:cstheme="minorHAnsi"/>
                <w:b/>
                <w:bCs/>
                <w:sz w:val="22"/>
                <w:szCs w:val="22"/>
                <w:lang w:val="en-US"/>
              </w:rPr>
            </w:pPr>
            <w:r w:rsidRPr="004F1B3A">
              <w:rPr>
                <w:rFonts w:asciiTheme="minorHAnsi" w:hAnsiTheme="minorHAnsi" w:cstheme="minorHAnsi"/>
                <w:b/>
                <w:bCs/>
                <w:sz w:val="22"/>
                <w:szCs w:val="22"/>
                <w:lang w:val="en-US"/>
              </w:rPr>
              <w:t xml:space="preserve">Documentation Required for </w:t>
            </w:r>
            <w:proofErr w:type="spellStart"/>
            <w:r w:rsidRPr="004F1B3A">
              <w:rPr>
                <w:rFonts w:asciiTheme="minorHAnsi" w:hAnsiTheme="minorHAnsi" w:cstheme="minorHAnsi"/>
                <w:b/>
                <w:bCs/>
                <w:sz w:val="22"/>
                <w:szCs w:val="22"/>
                <w:lang w:val="en-US"/>
              </w:rPr>
              <w:t>ASQANet</w:t>
            </w:r>
            <w:proofErr w:type="spellEnd"/>
          </w:p>
        </w:tc>
      </w:tr>
      <w:tr w:rsidR="00242DB6" w14:paraId="4C6331FF" w14:textId="77777777" w:rsidTr="00242DB6">
        <w:tc>
          <w:tcPr>
            <w:tcW w:w="4686" w:type="dxa"/>
          </w:tcPr>
          <w:p w14:paraId="4C2D1B62" w14:textId="4EB1B64D" w:rsidR="00242DB6" w:rsidRPr="004F1B3A" w:rsidRDefault="00242DB6">
            <w:pPr>
              <w:rPr>
                <w:rFonts w:asciiTheme="minorHAnsi" w:hAnsiTheme="minorHAnsi" w:cstheme="minorHAnsi"/>
                <w:sz w:val="22"/>
                <w:szCs w:val="22"/>
                <w:lang w:val="en-US"/>
              </w:rPr>
            </w:pPr>
            <w:r>
              <w:rPr>
                <w:rFonts w:asciiTheme="minorHAnsi" w:hAnsiTheme="minorHAnsi" w:cstheme="minorHAnsi"/>
                <w:sz w:val="22"/>
                <w:szCs w:val="22"/>
                <w:lang w:val="en-US"/>
              </w:rPr>
              <w:t>New executive officer/high managerial agent</w:t>
            </w:r>
          </w:p>
        </w:tc>
        <w:tc>
          <w:tcPr>
            <w:tcW w:w="4686" w:type="dxa"/>
          </w:tcPr>
          <w:p w14:paraId="41A7AAB1" w14:textId="77777777" w:rsidR="00242DB6" w:rsidRDefault="00242DB6" w:rsidP="00645CEB">
            <w:pPr>
              <w:pStyle w:val="ListParagraph"/>
              <w:numPr>
                <w:ilvl w:val="0"/>
                <w:numId w:val="9"/>
              </w:numPr>
              <w:rPr>
                <w:rFonts w:asciiTheme="minorHAnsi" w:hAnsiTheme="minorHAnsi" w:cstheme="minorHAnsi"/>
                <w:lang w:val="en-US"/>
              </w:rPr>
            </w:pPr>
            <w:r>
              <w:rPr>
                <w:rFonts w:asciiTheme="minorHAnsi" w:hAnsiTheme="minorHAnsi" w:cstheme="minorHAnsi"/>
                <w:lang w:val="en-US"/>
              </w:rPr>
              <w:t>Fit and proper person declaration</w:t>
            </w:r>
          </w:p>
          <w:p w14:paraId="6668F2D2" w14:textId="3715E6E8" w:rsidR="00242DB6" w:rsidRDefault="00242DB6" w:rsidP="00645CEB">
            <w:pPr>
              <w:pStyle w:val="ListParagraph"/>
              <w:numPr>
                <w:ilvl w:val="0"/>
                <w:numId w:val="9"/>
              </w:numPr>
              <w:rPr>
                <w:rFonts w:asciiTheme="minorHAnsi" w:hAnsiTheme="minorHAnsi" w:cstheme="minorHAnsi"/>
                <w:lang w:val="en-US"/>
              </w:rPr>
            </w:pPr>
            <w:proofErr w:type="spellStart"/>
            <w:r>
              <w:rPr>
                <w:rFonts w:asciiTheme="minorHAnsi" w:hAnsiTheme="minorHAnsi" w:cstheme="minorHAnsi"/>
                <w:lang w:val="en-US"/>
              </w:rPr>
              <w:t>Organisation</w:t>
            </w:r>
            <w:r w:rsidR="00583DC0">
              <w:rPr>
                <w:rFonts w:asciiTheme="minorHAnsi" w:hAnsiTheme="minorHAnsi" w:cstheme="minorHAnsi"/>
                <w:lang w:val="en-US"/>
              </w:rPr>
              <w:t>al</w:t>
            </w:r>
            <w:proofErr w:type="spellEnd"/>
            <w:r>
              <w:rPr>
                <w:rFonts w:asciiTheme="minorHAnsi" w:hAnsiTheme="minorHAnsi" w:cstheme="minorHAnsi"/>
                <w:lang w:val="en-US"/>
              </w:rPr>
              <w:t xml:space="preserve"> chart</w:t>
            </w:r>
          </w:p>
          <w:p w14:paraId="79805C55" w14:textId="0900C1CB" w:rsidR="00242DB6" w:rsidRPr="004F1B3A" w:rsidRDefault="00242DB6" w:rsidP="00645CEB">
            <w:pPr>
              <w:pStyle w:val="ListParagraph"/>
              <w:numPr>
                <w:ilvl w:val="0"/>
                <w:numId w:val="9"/>
              </w:numPr>
              <w:rPr>
                <w:rFonts w:asciiTheme="minorHAnsi" w:hAnsiTheme="minorHAnsi" w:cstheme="minorHAnsi"/>
                <w:lang w:val="en-US"/>
              </w:rPr>
            </w:pPr>
            <w:r>
              <w:rPr>
                <w:rFonts w:asciiTheme="minorHAnsi" w:hAnsiTheme="minorHAnsi" w:cstheme="minorHAnsi"/>
                <w:lang w:val="en-US"/>
              </w:rPr>
              <w:t>Full ASIC report listing all details of the company</w:t>
            </w:r>
          </w:p>
        </w:tc>
      </w:tr>
      <w:tr w:rsidR="00242DB6" w14:paraId="098A8CED" w14:textId="77777777" w:rsidTr="00242DB6">
        <w:tc>
          <w:tcPr>
            <w:tcW w:w="4686" w:type="dxa"/>
          </w:tcPr>
          <w:p w14:paraId="1481ED10" w14:textId="62C78DCF" w:rsidR="00242DB6" w:rsidRPr="004F1B3A" w:rsidRDefault="00242DB6">
            <w:pPr>
              <w:rPr>
                <w:rFonts w:asciiTheme="minorHAnsi" w:hAnsiTheme="minorHAnsi" w:cstheme="minorHAnsi"/>
                <w:sz w:val="22"/>
                <w:szCs w:val="22"/>
                <w:lang w:val="en-US"/>
              </w:rPr>
            </w:pPr>
            <w:r>
              <w:rPr>
                <w:rFonts w:asciiTheme="minorHAnsi" w:hAnsiTheme="minorHAnsi" w:cstheme="minorHAnsi"/>
                <w:sz w:val="22"/>
                <w:szCs w:val="22"/>
                <w:lang w:val="en-US"/>
              </w:rPr>
              <w:t>Change to legal name but not legal entity</w:t>
            </w:r>
          </w:p>
        </w:tc>
        <w:tc>
          <w:tcPr>
            <w:tcW w:w="4686" w:type="dxa"/>
          </w:tcPr>
          <w:p w14:paraId="71516627" w14:textId="77777777" w:rsidR="00242DB6" w:rsidRPr="00242DB6" w:rsidRDefault="00242DB6" w:rsidP="00645CEB">
            <w:pPr>
              <w:pStyle w:val="ListParagraph"/>
              <w:numPr>
                <w:ilvl w:val="0"/>
                <w:numId w:val="9"/>
              </w:numPr>
              <w:rPr>
                <w:rFonts w:asciiTheme="minorHAnsi" w:hAnsiTheme="minorHAnsi" w:cstheme="minorHAnsi"/>
                <w:lang w:val="en-US"/>
              </w:rPr>
            </w:pPr>
            <w:r w:rsidRPr="00242DB6">
              <w:rPr>
                <w:rFonts w:asciiTheme="minorHAnsi" w:hAnsiTheme="minorHAnsi" w:cstheme="minorHAnsi"/>
                <w:lang w:val="en-US"/>
              </w:rPr>
              <w:t>Fit and proper person declaration</w:t>
            </w:r>
          </w:p>
          <w:p w14:paraId="5AC8E625" w14:textId="0F3690F1" w:rsidR="00242DB6" w:rsidRPr="00242DB6" w:rsidRDefault="00242DB6" w:rsidP="00645CEB">
            <w:pPr>
              <w:pStyle w:val="ListParagraph"/>
              <w:numPr>
                <w:ilvl w:val="0"/>
                <w:numId w:val="9"/>
              </w:numPr>
              <w:rPr>
                <w:rFonts w:asciiTheme="minorHAnsi" w:hAnsiTheme="minorHAnsi" w:cstheme="minorHAnsi"/>
                <w:lang w:val="en-US"/>
              </w:rPr>
            </w:pPr>
            <w:proofErr w:type="spellStart"/>
            <w:r w:rsidRPr="00242DB6">
              <w:rPr>
                <w:rFonts w:asciiTheme="minorHAnsi" w:hAnsiTheme="minorHAnsi" w:cstheme="minorHAnsi"/>
                <w:lang w:val="en-US"/>
              </w:rPr>
              <w:t>Organi</w:t>
            </w:r>
            <w:r>
              <w:rPr>
                <w:rFonts w:asciiTheme="minorHAnsi" w:hAnsiTheme="minorHAnsi" w:cstheme="minorHAnsi"/>
                <w:lang w:val="en-US"/>
              </w:rPr>
              <w:t>s</w:t>
            </w:r>
            <w:r w:rsidRPr="00242DB6">
              <w:rPr>
                <w:rFonts w:asciiTheme="minorHAnsi" w:hAnsiTheme="minorHAnsi" w:cstheme="minorHAnsi"/>
                <w:lang w:val="en-US"/>
              </w:rPr>
              <w:t>ation</w:t>
            </w:r>
            <w:r w:rsidR="00583DC0">
              <w:rPr>
                <w:rFonts w:asciiTheme="minorHAnsi" w:hAnsiTheme="minorHAnsi" w:cstheme="minorHAnsi"/>
                <w:lang w:val="en-US"/>
              </w:rPr>
              <w:t>al</w:t>
            </w:r>
            <w:proofErr w:type="spellEnd"/>
            <w:r w:rsidRPr="00242DB6">
              <w:rPr>
                <w:rFonts w:asciiTheme="minorHAnsi" w:hAnsiTheme="minorHAnsi" w:cstheme="minorHAnsi"/>
                <w:lang w:val="en-US"/>
              </w:rPr>
              <w:t xml:space="preserve"> chart</w:t>
            </w:r>
          </w:p>
          <w:p w14:paraId="57704817" w14:textId="6831FC92" w:rsidR="00242DB6" w:rsidRPr="004F1B3A" w:rsidRDefault="00242DB6" w:rsidP="00242DB6">
            <w:pPr>
              <w:rPr>
                <w:rFonts w:asciiTheme="minorHAnsi" w:hAnsiTheme="minorHAnsi" w:cstheme="minorHAnsi"/>
                <w:sz w:val="22"/>
                <w:szCs w:val="22"/>
                <w:lang w:val="en-US"/>
              </w:rPr>
            </w:pPr>
            <w:r w:rsidRPr="004F1B3A">
              <w:rPr>
                <w:rFonts w:asciiTheme="minorHAnsi" w:hAnsiTheme="minorHAnsi" w:cstheme="minorHAnsi"/>
                <w:sz w:val="22"/>
                <w:szCs w:val="22"/>
                <w:lang w:val="en-US"/>
              </w:rPr>
              <w:t>Full ASIC report listing all details of the company</w:t>
            </w:r>
          </w:p>
        </w:tc>
      </w:tr>
      <w:tr w:rsidR="00242DB6" w14:paraId="0E3DF37E" w14:textId="77777777" w:rsidTr="00242DB6">
        <w:tc>
          <w:tcPr>
            <w:tcW w:w="4686" w:type="dxa"/>
          </w:tcPr>
          <w:p w14:paraId="234D0929" w14:textId="44645153" w:rsidR="00242DB6" w:rsidRPr="004F1B3A" w:rsidRDefault="00242DB6">
            <w:pPr>
              <w:rPr>
                <w:rFonts w:asciiTheme="minorHAnsi" w:hAnsiTheme="minorHAnsi" w:cstheme="minorHAnsi"/>
                <w:sz w:val="22"/>
                <w:szCs w:val="22"/>
                <w:lang w:val="en-US"/>
              </w:rPr>
            </w:pPr>
            <w:r>
              <w:rPr>
                <w:rFonts w:asciiTheme="minorHAnsi" w:hAnsiTheme="minorHAnsi" w:cstheme="minorHAnsi"/>
                <w:sz w:val="22"/>
                <w:szCs w:val="22"/>
                <w:lang w:val="en-US"/>
              </w:rPr>
              <w:t>Change to legal entity which has registration</w:t>
            </w:r>
          </w:p>
        </w:tc>
        <w:tc>
          <w:tcPr>
            <w:tcW w:w="4686" w:type="dxa"/>
          </w:tcPr>
          <w:p w14:paraId="5D65320D" w14:textId="76AE4F71" w:rsidR="00242DB6" w:rsidRPr="004F1B3A" w:rsidRDefault="00242DB6" w:rsidP="00242DB6">
            <w:pPr>
              <w:rPr>
                <w:rFonts w:asciiTheme="minorHAnsi" w:hAnsiTheme="minorHAnsi" w:cstheme="minorHAnsi"/>
                <w:sz w:val="22"/>
                <w:szCs w:val="22"/>
                <w:lang w:val="en-US"/>
              </w:rPr>
            </w:pPr>
            <w:r>
              <w:rPr>
                <w:rFonts w:asciiTheme="minorHAnsi" w:hAnsiTheme="minorHAnsi" w:cstheme="minorHAnsi"/>
                <w:sz w:val="22"/>
                <w:szCs w:val="22"/>
                <w:lang w:val="en-US"/>
              </w:rPr>
              <w:t>Nil</w:t>
            </w:r>
          </w:p>
        </w:tc>
      </w:tr>
      <w:tr w:rsidR="00242DB6" w14:paraId="085563F4" w14:textId="77777777" w:rsidTr="00242DB6">
        <w:tc>
          <w:tcPr>
            <w:tcW w:w="4686" w:type="dxa"/>
          </w:tcPr>
          <w:p w14:paraId="1F986587" w14:textId="2ACC43EF" w:rsid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Change in ownership and/or control (including sale of business)</w:t>
            </w:r>
          </w:p>
        </w:tc>
        <w:tc>
          <w:tcPr>
            <w:tcW w:w="4686" w:type="dxa"/>
          </w:tcPr>
          <w:p w14:paraId="06DCBD19" w14:textId="77777777" w:rsidR="00242DB6" w:rsidRDefault="00242DB6" w:rsidP="00645CEB">
            <w:pPr>
              <w:pStyle w:val="ListParagraph"/>
              <w:numPr>
                <w:ilvl w:val="0"/>
                <w:numId w:val="10"/>
              </w:numPr>
              <w:rPr>
                <w:rFonts w:asciiTheme="minorHAnsi" w:hAnsiTheme="minorHAnsi" w:cstheme="minorHAnsi"/>
                <w:lang w:val="en-US"/>
              </w:rPr>
            </w:pPr>
            <w:r>
              <w:rPr>
                <w:rFonts w:asciiTheme="minorHAnsi" w:hAnsiTheme="minorHAnsi" w:cstheme="minorHAnsi"/>
                <w:lang w:val="en-US"/>
              </w:rPr>
              <w:t>Chief Executive Statutory Declaration</w:t>
            </w:r>
          </w:p>
          <w:p w14:paraId="70DD81E1" w14:textId="77777777" w:rsidR="00242DB6" w:rsidRDefault="00242DB6" w:rsidP="00645CEB">
            <w:pPr>
              <w:pStyle w:val="ListParagraph"/>
              <w:numPr>
                <w:ilvl w:val="0"/>
                <w:numId w:val="10"/>
              </w:numPr>
              <w:rPr>
                <w:rFonts w:asciiTheme="minorHAnsi" w:hAnsiTheme="minorHAnsi" w:cstheme="minorHAnsi"/>
                <w:lang w:val="en-US"/>
              </w:rPr>
            </w:pPr>
            <w:r>
              <w:rPr>
                <w:rFonts w:asciiTheme="minorHAnsi" w:hAnsiTheme="minorHAnsi" w:cstheme="minorHAnsi"/>
                <w:lang w:val="en-US"/>
              </w:rPr>
              <w:t>Fit and proper person declaration</w:t>
            </w:r>
          </w:p>
          <w:p w14:paraId="1536309A" w14:textId="77777777" w:rsidR="00242DB6" w:rsidRDefault="00242DB6" w:rsidP="00645CEB">
            <w:pPr>
              <w:pStyle w:val="ListParagraph"/>
              <w:numPr>
                <w:ilvl w:val="0"/>
                <w:numId w:val="10"/>
              </w:numPr>
              <w:rPr>
                <w:rFonts w:asciiTheme="minorHAnsi" w:hAnsiTheme="minorHAnsi" w:cstheme="minorHAnsi"/>
                <w:lang w:val="en-US"/>
              </w:rPr>
            </w:pPr>
            <w:r>
              <w:rPr>
                <w:rFonts w:asciiTheme="minorHAnsi" w:hAnsiTheme="minorHAnsi" w:cstheme="minorHAnsi"/>
                <w:lang w:val="en-US"/>
              </w:rPr>
              <w:t>Full ASIC report listing all details of the company</w:t>
            </w:r>
          </w:p>
          <w:p w14:paraId="347BB181" w14:textId="6472A129" w:rsidR="00242DB6" w:rsidRPr="004F1B3A" w:rsidRDefault="00242DB6" w:rsidP="00645CEB">
            <w:pPr>
              <w:pStyle w:val="ListParagraph"/>
              <w:numPr>
                <w:ilvl w:val="0"/>
                <w:numId w:val="10"/>
              </w:numPr>
              <w:rPr>
                <w:rFonts w:asciiTheme="minorHAnsi" w:hAnsiTheme="minorHAnsi" w:cstheme="minorHAnsi"/>
                <w:lang w:val="en-US"/>
              </w:rPr>
            </w:pPr>
            <w:proofErr w:type="spellStart"/>
            <w:r>
              <w:rPr>
                <w:rFonts w:asciiTheme="minorHAnsi" w:hAnsiTheme="minorHAnsi" w:cstheme="minorHAnsi"/>
                <w:lang w:val="en-US"/>
              </w:rPr>
              <w:t>Organisation</w:t>
            </w:r>
            <w:r w:rsidR="00583DC0">
              <w:rPr>
                <w:rFonts w:asciiTheme="minorHAnsi" w:hAnsiTheme="minorHAnsi" w:cstheme="minorHAnsi"/>
                <w:lang w:val="en-US"/>
              </w:rPr>
              <w:t>al</w:t>
            </w:r>
            <w:proofErr w:type="spellEnd"/>
            <w:r>
              <w:rPr>
                <w:rFonts w:asciiTheme="minorHAnsi" w:hAnsiTheme="minorHAnsi" w:cstheme="minorHAnsi"/>
                <w:lang w:val="en-US"/>
              </w:rPr>
              <w:t xml:space="preserve"> chart</w:t>
            </w:r>
          </w:p>
        </w:tc>
      </w:tr>
      <w:tr w:rsidR="00242DB6" w14:paraId="18F35EF1" w14:textId="77777777" w:rsidTr="00242DB6">
        <w:tc>
          <w:tcPr>
            <w:tcW w:w="4686" w:type="dxa"/>
          </w:tcPr>
          <w:p w14:paraId="1BC8FF93" w14:textId="53C2E5B5" w:rsid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Change to financial administration status, for example, bankruptcy or liquidation</w:t>
            </w:r>
          </w:p>
        </w:tc>
        <w:tc>
          <w:tcPr>
            <w:tcW w:w="4686" w:type="dxa"/>
          </w:tcPr>
          <w:p w14:paraId="09017BB4" w14:textId="07E18543" w:rsidR="00242DB6" w:rsidRP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Nil</w:t>
            </w:r>
          </w:p>
        </w:tc>
      </w:tr>
      <w:tr w:rsidR="00242DB6" w14:paraId="5A77502F" w14:textId="77777777" w:rsidTr="00242DB6">
        <w:tc>
          <w:tcPr>
            <w:tcW w:w="4686" w:type="dxa"/>
          </w:tcPr>
          <w:p w14:paraId="6F2B04F4" w14:textId="264289F9" w:rsidR="00242DB6" w:rsidRDefault="00242DB6">
            <w:pPr>
              <w:rPr>
                <w:rFonts w:asciiTheme="minorHAnsi" w:hAnsiTheme="minorHAnsi" w:cstheme="minorHAnsi"/>
                <w:sz w:val="22"/>
                <w:szCs w:val="22"/>
                <w:lang w:val="en-US"/>
              </w:rPr>
            </w:pPr>
            <w:proofErr w:type="gramStart"/>
            <w:r>
              <w:rPr>
                <w:rFonts w:asciiTheme="minorHAnsi" w:hAnsiTheme="minorHAnsi" w:cstheme="minorHAnsi"/>
                <w:sz w:val="22"/>
                <w:szCs w:val="22"/>
                <w:lang w:val="en-US"/>
              </w:rPr>
              <w:t>Other</w:t>
            </w:r>
            <w:proofErr w:type="gramEnd"/>
            <w:r>
              <w:rPr>
                <w:rFonts w:asciiTheme="minorHAnsi" w:hAnsiTheme="minorHAnsi" w:cstheme="minorHAnsi"/>
                <w:sz w:val="22"/>
                <w:szCs w:val="22"/>
                <w:lang w:val="en-US"/>
              </w:rPr>
              <w:t xml:space="preserve"> significant event</w:t>
            </w:r>
          </w:p>
        </w:tc>
        <w:tc>
          <w:tcPr>
            <w:tcW w:w="4686" w:type="dxa"/>
          </w:tcPr>
          <w:p w14:paraId="6069EB5E" w14:textId="75FF942B" w:rsidR="00242DB6" w:rsidRP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 xml:space="preserve">Nil </w:t>
            </w:r>
          </w:p>
        </w:tc>
      </w:tr>
      <w:tr w:rsidR="00242DB6" w14:paraId="68F25E2C" w14:textId="77777777" w:rsidTr="00242DB6">
        <w:tc>
          <w:tcPr>
            <w:tcW w:w="4686" w:type="dxa"/>
          </w:tcPr>
          <w:p w14:paraId="205DD8E9" w14:textId="231C6C0E" w:rsid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Remove executive officer/high managerial agent</w:t>
            </w:r>
          </w:p>
        </w:tc>
        <w:tc>
          <w:tcPr>
            <w:tcW w:w="4686" w:type="dxa"/>
          </w:tcPr>
          <w:p w14:paraId="4B57234F" w14:textId="046E2DAA" w:rsidR="00242DB6" w:rsidRPr="00242DB6" w:rsidRDefault="00242DB6">
            <w:pPr>
              <w:rPr>
                <w:rFonts w:asciiTheme="minorHAnsi" w:hAnsiTheme="minorHAnsi" w:cstheme="minorHAnsi"/>
                <w:sz w:val="22"/>
                <w:szCs w:val="22"/>
                <w:lang w:val="en-US"/>
              </w:rPr>
            </w:pPr>
            <w:r>
              <w:rPr>
                <w:rFonts w:asciiTheme="minorHAnsi" w:hAnsiTheme="minorHAnsi" w:cstheme="minorHAnsi"/>
                <w:sz w:val="22"/>
                <w:szCs w:val="22"/>
                <w:lang w:val="en-US"/>
              </w:rPr>
              <w:t>Nil</w:t>
            </w:r>
          </w:p>
        </w:tc>
      </w:tr>
    </w:tbl>
    <w:p w14:paraId="3C979D3E" w14:textId="77777777" w:rsidR="00242DB6" w:rsidRPr="004F1B3A" w:rsidRDefault="00242DB6" w:rsidP="004F1B3A">
      <w:pPr>
        <w:rPr>
          <w:rFonts w:asciiTheme="minorHAnsi" w:hAnsiTheme="minorHAnsi" w:cstheme="minorHAnsi"/>
          <w:lang w:val="en-US"/>
        </w:rPr>
      </w:pPr>
    </w:p>
    <w:sectPr w:rsidR="00242DB6" w:rsidRPr="004F1B3A" w:rsidSect="00145477">
      <w:headerReference w:type="even" r:id="rId17"/>
      <w:headerReference w:type="default" r:id="rId18"/>
      <w:footerReference w:type="default" r:id="rId19"/>
      <w:headerReference w:type="first" r:id="rId20"/>
      <w:pgSz w:w="11906" w:h="16838"/>
      <w:pgMar w:top="1276" w:right="1106" w:bottom="993" w:left="1418" w:header="709"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641E" w14:textId="77777777" w:rsidR="00A84A3C" w:rsidRDefault="00A84A3C">
      <w:r>
        <w:separator/>
      </w:r>
    </w:p>
  </w:endnote>
  <w:endnote w:type="continuationSeparator" w:id="0">
    <w:p w14:paraId="41B424EE" w14:textId="77777777" w:rsidR="00A84A3C" w:rsidRDefault="00A84A3C">
      <w:r>
        <w:continuationSeparator/>
      </w:r>
    </w:p>
  </w:endnote>
  <w:endnote w:type="continuationNotice" w:id="1">
    <w:p w14:paraId="229099E9" w14:textId="77777777" w:rsidR="00A84A3C" w:rsidRDefault="00A84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3025" w14:textId="32A72FC0" w:rsidR="00037F06" w:rsidRPr="00037F06" w:rsidRDefault="00730286" w:rsidP="00B52DA4">
    <w:pPr>
      <w:pStyle w:val="NoSpacing"/>
      <w:rPr>
        <w:rStyle w:val="PageNumber"/>
        <w:rFonts w:ascii="Calibri" w:hAnsi="Calibri"/>
        <w:sz w:val="16"/>
        <w:szCs w:val="16"/>
      </w:rPr>
    </w:pPr>
    <w:r w:rsidRPr="00010E41">
      <w:rPr>
        <w:rFonts w:asciiTheme="minorHAnsi" w:hAnsiTheme="minorHAnsi"/>
        <w:noProof/>
        <w:sz w:val="20"/>
        <w:szCs w:val="20"/>
      </w:rPr>
      <mc:AlternateContent>
        <mc:Choice Requires="wps">
          <w:drawing>
            <wp:anchor distT="4294967295" distB="4294967295" distL="114300" distR="114300" simplePos="0" relativeHeight="251658240" behindDoc="0" locked="0" layoutInCell="1" allowOverlap="1" wp14:anchorId="1CF4388C" wp14:editId="602A03F0">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209D6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" strokecolor="windowText" strokeweight=".5pt">
              <o:lock v:ext="edit" shapetype="f"/>
            </v:line>
          </w:pict>
        </mc:Fallback>
      </mc:AlternateContent>
    </w:r>
    <w:r>
      <w:rPr>
        <w:rFonts w:asciiTheme="minorHAnsi" w:hAnsiTheme="minorHAnsi"/>
        <w:sz w:val="20"/>
        <w:szCs w:val="20"/>
      </w:rPr>
      <w:t xml:space="preserve">Procedure Owner: </w:t>
    </w:r>
    <w:r w:rsidR="003D1A8F">
      <w:rPr>
        <w:rFonts w:asciiTheme="minorHAnsi" w:hAnsiTheme="minorHAnsi"/>
        <w:sz w:val="20"/>
        <w:szCs w:val="20"/>
      </w:rPr>
      <w:t xml:space="preserve">Executive Branch Manager, Risk, Audit </w:t>
    </w:r>
    <w:r w:rsidR="00AD12EA">
      <w:rPr>
        <w:rFonts w:asciiTheme="minorHAnsi" w:hAnsiTheme="minorHAnsi"/>
        <w:sz w:val="20"/>
        <w:szCs w:val="20"/>
      </w:rPr>
      <w:t>and</w:t>
    </w:r>
    <w:r w:rsidR="003D1A8F">
      <w:rPr>
        <w:rFonts w:asciiTheme="minorHAnsi" w:hAnsiTheme="minorHAnsi"/>
        <w:sz w:val="20"/>
        <w:szCs w:val="20"/>
      </w:rPr>
      <w:t xml:space="preserve"> </w:t>
    </w:r>
    <w:r w:rsidR="00552CE7">
      <w:rPr>
        <w:rFonts w:asciiTheme="minorHAnsi" w:hAnsiTheme="minorHAnsi"/>
        <w:sz w:val="20"/>
        <w:szCs w:val="20"/>
      </w:rPr>
      <w:tab/>
    </w:r>
    <w:r w:rsidR="00B52DA4">
      <w:rPr>
        <w:rFonts w:asciiTheme="minorHAnsi" w:hAnsiTheme="minorHAnsi"/>
        <w:sz w:val="20"/>
        <w:szCs w:val="20"/>
      </w:rPr>
      <w:br/>
    </w:r>
    <w:r>
      <w:rPr>
        <w:rFonts w:asciiTheme="minorHAnsi" w:hAnsiTheme="minorHAnsi"/>
        <w:sz w:val="20"/>
        <w:szCs w:val="20"/>
      </w:rPr>
      <w:t>Procedure Contact Officer</w:t>
    </w:r>
    <w:r w:rsidR="00552CE7">
      <w:rPr>
        <w:rFonts w:asciiTheme="minorHAnsi" w:hAnsiTheme="minorHAnsi"/>
        <w:sz w:val="20"/>
        <w:szCs w:val="20"/>
      </w:rPr>
      <w:t xml:space="preserve">: </w:t>
    </w:r>
    <w:r w:rsidR="00B52DA4">
      <w:rPr>
        <w:rFonts w:asciiTheme="minorHAnsi" w:hAnsiTheme="minorHAnsi"/>
        <w:sz w:val="20"/>
        <w:szCs w:val="20"/>
      </w:rPr>
      <w:t>Director,</w:t>
    </w:r>
    <w:r w:rsidR="00552CE7">
      <w:rPr>
        <w:rFonts w:asciiTheme="minorHAnsi" w:hAnsiTheme="minorHAnsi"/>
        <w:sz w:val="20"/>
        <w:szCs w:val="20"/>
      </w:rPr>
      <w:t xml:space="preserve"> Audit</w:t>
    </w:r>
    <w:r w:rsidR="00B52DA4">
      <w:rPr>
        <w:rFonts w:asciiTheme="minorHAnsi" w:hAnsiTheme="minorHAnsi"/>
        <w:sz w:val="20"/>
        <w:szCs w:val="20"/>
      </w:rPr>
      <w:t xml:space="preserve">, Risk and </w:t>
    </w:r>
    <w:r w:rsidR="00552CE7">
      <w:rPr>
        <w:rFonts w:asciiTheme="minorHAnsi" w:hAnsiTheme="minorHAnsi"/>
        <w:sz w:val="20"/>
        <w:szCs w:val="20"/>
      </w:rPr>
      <w:t>Corporate Governance</w:t>
    </w:r>
    <w:r w:rsidR="00B52DA4">
      <w:rPr>
        <w:rFonts w:asciiTheme="minorHAnsi" w:hAnsiTheme="minorHAnsi"/>
        <w:sz w:val="20"/>
        <w:szCs w:val="20"/>
      </w:rPr>
      <w:t xml:space="preserve"> </w:t>
    </w:r>
    <w:r w:rsidR="00B52DA4">
      <w:rPr>
        <w:rFonts w:asciiTheme="minorHAnsi" w:hAnsiTheme="minorHAnsi"/>
        <w:sz w:val="20"/>
        <w:szCs w:val="20"/>
      </w:rPr>
      <w:tab/>
    </w:r>
    <w:r>
      <w:rPr>
        <w:rFonts w:asciiTheme="minorHAnsi" w:hAnsiTheme="minorHAnsi"/>
        <w:sz w:val="20"/>
        <w:szCs w:val="20"/>
      </w:rPr>
      <w:t xml:space="preserve">Approval Date: </w:t>
    </w:r>
    <w:r w:rsidR="00FD3D8E">
      <w:rPr>
        <w:rFonts w:asciiTheme="minorHAnsi" w:hAnsiTheme="minorHAnsi"/>
        <w:sz w:val="20"/>
        <w:szCs w:val="20"/>
      </w:rPr>
      <w:t>29 January 2025</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08AF" w14:textId="77777777" w:rsidR="00A84A3C" w:rsidRDefault="00A84A3C">
      <w:r>
        <w:separator/>
      </w:r>
    </w:p>
  </w:footnote>
  <w:footnote w:type="continuationSeparator" w:id="0">
    <w:p w14:paraId="2CE751F1" w14:textId="77777777" w:rsidR="00A84A3C" w:rsidRDefault="00A84A3C">
      <w:r>
        <w:continuationSeparator/>
      </w:r>
    </w:p>
  </w:footnote>
  <w:footnote w:type="continuationNotice" w:id="1">
    <w:p w14:paraId="34942930" w14:textId="77777777" w:rsidR="00A84A3C" w:rsidRDefault="00A84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B8B5" w14:textId="0AD8D881" w:rsidR="00980B27" w:rsidRDefault="00980B27">
    <w:pPr>
      <w:pStyle w:val="Header"/>
    </w:pPr>
    <w:r>
      <w:rPr>
        <w:noProof/>
      </w:rPr>
      <mc:AlternateContent>
        <mc:Choice Requires="wps">
          <w:drawing>
            <wp:anchor distT="0" distB="0" distL="0" distR="0" simplePos="0" relativeHeight="251660288" behindDoc="0" locked="0" layoutInCell="1" allowOverlap="1" wp14:anchorId="3BF68CA1" wp14:editId="796E0899">
              <wp:simplePos x="635" y="635"/>
              <wp:positionH relativeFrom="page">
                <wp:align>center</wp:align>
              </wp:positionH>
              <wp:positionV relativeFrom="page">
                <wp:align>top</wp:align>
              </wp:positionV>
              <wp:extent cx="551815" cy="376555"/>
              <wp:effectExtent l="0" t="0" r="635" b="4445"/>
              <wp:wrapNone/>
              <wp:docPr id="16647456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DA16A2" w14:textId="5FA2EF1C"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68CA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EDA16A2" w14:textId="5FA2EF1C"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4F0" w14:textId="59645E50" w:rsidR="00037F06" w:rsidRPr="00E1096E" w:rsidRDefault="00980B27" w:rsidP="00730286">
    <w:pPr>
      <w:pStyle w:val="Header"/>
      <w:jc w:val="right"/>
      <w:rPr>
        <w:rFonts w:ascii="Calibri" w:hAnsi="Calibri" w:cs="Calibri"/>
        <w:sz w:val="16"/>
        <w:szCs w:val="16"/>
      </w:rPr>
    </w:pPr>
    <w:r>
      <w:rPr>
        <w:noProof/>
      </w:rPr>
      <mc:AlternateContent>
        <mc:Choice Requires="wps">
          <w:drawing>
            <wp:anchor distT="0" distB="0" distL="0" distR="0" simplePos="0" relativeHeight="251661312" behindDoc="0" locked="0" layoutInCell="1" allowOverlap="1" wp14:anchorId="7A8301EB" wp14:editId="1AADCBFF">
              <wp:simplePos x="899160" y="449580"/>
              <wp:positionH relativeFrom="page">
                <wp:align>center</wp:align>
              </wp:positionH>
              <wp:positionV relativeFrom="page">
                <wp:align>top</wp:align>
              </wp:positionV>
              <wp:extent cx="551815" cy="376555"/>
              <wp:effectExtent l="0" t="0" r="635" b="4445"/>
              <wp:wrapNone/>
              <wp:docPr id="12867788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B18192" w14:textId="3BC47FE7"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301E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3B18192" w14:textId="3BC47FE7"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v:textbox>
              <w10:wrap anchorx="page" anchory="page"/>
            </v:shape>
          </w:pict>
        </mc:Fallback>
      </mc:AlternateContent>
    </w:r>
    <w:r w:rsidR="00730286">
      <w:rPr>
        <w:noProof/>
      </w:rPr>
      <w:drawing>
        <wp:inline distT="0" distB="0" distL="0" distR="0" wp14:anchorId="646CBFA1" wp14:editId="3B007E26">
          <wp:extent cx="2089660" cy="427377"/>
          <wp:effectExtent l="0" t="0" r="6350" b="0"/>
          <wp:docPr id="4" name="Picture 4" descr="https://staff.cit.edu.au/__data/assets/image/0009/46728/CIT_logo_inline_right_corner_dark_blue_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ff.cit.edu.au/__data/assets/image/0009/46728/CIT_logo_inline_right_corner_dark_blue_R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556" cy="441877"/>
                  </a:xfrm>
                  <a:prstGeom prst="rect">
                    <a:avLst/>
                  </a:prstGeom>
                  <a:noFill/>
                  <a:ln>
                    <a:noFill/>
                  </a:ln>
                </pic:spPr>
              </pic:pic>
            </a:graphicData>
          </a:graphic>
        </wp:inline>
      </w:drawing>
    </w:r>
  </w:p>
  <w:p w14:paraId="3451B7C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D7E3" w14:textId="6805D9ED" w:rsidR="00980B27" w:rsidRDefault="00980B27">
    <w:pPr>
      <w:pStyle w:val="Header"/>
    </w:pPr>
    <w:r>
      <w:rPr>
        <w:noProof/>
      </w:rPr>
      <mc:AlternateContent>
        <mc:Choice Requires="wps">
          <w:drawing>
            <wp:anchor distT="0" distB="0" distL="0" distR="0" simplePos="0" relativeHeight="251659264" behindDoc="0" locked="0" layoutInCell="1" allowOverlap="1" wp14:anchorId="438645BE" wp14:editId="46456A09">
              <wp:simplePos x="635" y="635"/>
              <wp:positionH relativeFrom="page">
                <wp:align>center</wp:align>
              </wp:positionH>
              <wp:positionV relativeFrom="page">
                <wp:align>top</wp:align>
              </wp:positionV>
              <wp:extent cx="551815" cy="376555"/>
              <wp:effectExtent l="0" t="0" r="635" b="4445"/>
              <wp:wrapNone/>
              <wp:docPr id="966820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A5D2E" w14:textId="15159E42"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45BE"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73A5D2E" w14:textId="15159E42" w:rsidR="00980B27" w:rsidRPr="00980B27" w:rsidRDefault="00980B27" w:rsidP="00980B27">
                    <w:pPr>
                      <w:rPr>
                        <w:rFonts w:ascii="Calibri" w:eastAsia="Calibri" w:hAnsi="Calibri" w:cs="Calibri"/>
                        <w:noProof/>
                        <w:color w:val="FF0000"/>
                      </w:rPr>
                    </w:pPr>
                    <w:r w:rsidRPr="00980B2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223"/>
    <w:multiLevelType w:val="multilevel"/>
    <w:tmpl w:val="F4BEBD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C219C"/>
    <w:multiLevelType w:val="hybridMultilevel"/>
    <w:tmpl w:val="2A72AF4A"/>
    <w:lvl w:ilvl="0" w:tplc="9A68F35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15E95"/>
    <w:multiLevelType w:val="multilevel"/>
    <w:tmpl w:val="B44EA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DF21D0"/>
    <w:multiLevelType w:val="multilevel"/>
    <w:tmpl w:val="BF9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51CE4"/>
    <w:multiLevelType w:val="multilevel"/>
    <w:tmpl w:val="C8225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2C4D1F"/>
    <w:multiLevelType w:val="multilevel"/>
    <w:tmpl w:val="BBCE6D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50DA0"/>
    <w:multiLevelType w:val="multilevel"/>
    <w:tmpl w:val="2B1A07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876F8A"/>
    <w:multiLevelType w:val="multilevel"/>
    <w:tmpl w:val="245A09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E36FF"/>
    <w:multiLevelType w:val="multilevel"/>
    <w:tmpl w:val="DB725D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8F5FC8"/>
    <w:multiLevelType w:val="multilevel"/>
    <w:tmpl w:val="2D7C3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B163E7"/>
    <w:multiLevelType w:val="hybridMultilevel"/>
    <w:tmpl w:val="E6D2B208"/>
    <w:lvl w:ilvl="0" w:tplc="D78CC68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3059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145D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8E4A9C"/>
    <w:multiLevelType w:val="multilevel"/>
    <w:tmpl w:val="B7E8C2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AC4899"/>
    <w:multiLevelType w:val="hybridMultilevel"/>
    <w:tmpl w:val="9B323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E7DFB"/>
    <w:multiLevelType w:val="hybridMultilevel"/>
    <w:tmpl w:val="BFFC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54326"/>
    <w:multiLevelType w:val="multilevel"/>
    <w:tmpl w:val="0C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533205"/>
    <w:multiLevelType w:val="multilevel"/>
    <w:tmpl w:val="073E5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B068C1"/>
    <w:multiLevelType w:val="multilevel"/>
    <w:tmpl w:val="35F436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320C7E"/>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3E39DE"/>
    <w:multiLevelType w:val="multilevel"/>
    <w:tmpl w:val="9C747A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4874CE"/>
    <w:multiLevelType w:val="multilevel"/>
    <w:tmpl w:val="B08ECE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0EB9"/>
    <w:multiLevelType w:val="hybridMultilevel"/>
    <w:tmpl w:val="3604ADA0"/>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DD6734"/>
    <w:multiLevelType w:val="hybridMultilevel"/>
    <w:tmpl w:val="E07A548E"/>
    <w:lvl w:ilvl="0" w:tplc="3D98558C">
      <w:start w:val="1"/>
      <w:numFmt w:val="decimal"/>
      <w:lvlText w:val="%1."/>
      <w:lvlJc w:val="left"/>
      <w:pPr>
        <w:ind w:left="499" w:hanging="360"/>
      </w:pPr>
      <w:rPr>
        <w:rFonts w:ascii="Calibri" w:eastAsia="Calibri" w:hAnsi="Calibri" w:cs="Calibri" w:hint="default"/>
        <w:b/>
        <w:bCs/>
        <w:color w:val="005481"/>
        <w:spacing w:val="-1"/>
        <w:w w:val="100"/>
        <w:sz w:val="28"/>
        <w:szCs w:val="28"/>
      </w:rPr>
    </w:lvl>
    <w:lvl w:ilvl="1" w:tplc="416644BC">
      <w:numFmt w:val="bullet"/>
      <w:lvlText w:val=""/>
      <w:lvlJc w:val="left"/>
      <w:pPr>
        <w:ind w:left="860" w:hanging="361"/>
      </w:pPr>
      <w:rPr>
        <w:rFonts w:ascii="Symbol" w:eastAsia="Symbol" w:hAnsi="Symbol" w:cs="Symbol" w:hint="default"/>
        <w:w w:val="100"/>
        <w:sz w:val="22"/>
        <w:szCs w:val="22"/>
      </w:rPr>
    </w:lvl>
    <w:lvl w:ilvl="2" w:tplc="72F23758">
      <w:numFmt w:val="bullet"/>
      <w:lvlText w:val="•"/>
      <w:lvlJc w:val="left"/>
      <w:pPr>
        <w:ind w:left="1798" w:hanging="361"/>
      </w:pPr>
      <w:rPr>
        <w:rFonts w:hint="default"/>
      </w:rPr>
    </w:lvl>
    <w:lvl w:ilvl="3" w:tplc="B5482AEC">
      <w:numFmt w:val="bullet"/>
      <w:lvlText w:val="•"/>
      <w:lvlJc w:val="left"/>
      <w:pPr>
        <w:ind w:left="2736" w:hanging="361"/>
      </w:pPr>
      <w:rPr>
        <w:rFonts w:hint="default"/>
      </w:rPr>
    </w:lvl>
    <w:lvl w:ilvl="4" w:tplc="2132E76A">
      <w:numFmt w:val="bullet"/>
      <w:lvlText w:val="•"/>
      <w:lvlJc w:val="left"/>
      <w:pPr>
        <w:ind w:left="3675" w:hanging="361"/>
      </w:pPr>
      <w:rPr>
        <w:rFonts w:hint="default"/>
      </w:rPr>
    </w:lvl>
    <w:lvl w:ilvl="5" w:tplc="726045EA">
      <w:numFmt w:val="bullet"/>
      <w:lvlText w:val="•"/>
      <w:lvlJc w:val="left"/>
      <w:pPr>
        <w:ind w:left="4613" w:hanging="361"/>
      </w:pPr>
      <w:rPr>
        <w:rFonts w:hint="default"/>
      </w:rPr>
    </w:lvl>
    <w:lvl w:ilvl="6" w:tplc="8D7A1DCA">
      <w:numFmt w:val="bullet"/>
      <w:lvlText w:val="•"/>
      <w:lvlJc w:val="left"/>
      <w:pPr>
        <w:ind w:left="5552" w:hanging="361"/>
      </w:pPr>
      <w:rPr>
        <w:rFonts w:hint="default"/>
      </w:rPr>
    </w:lvl>
    <w:lvl w:ilvl="7" w:tplc="4A6093D4">
      <w:numFmt w:val="bullet"/>
      <w:lvlText w:val="•"/>
      <w:lvlJc w:val="left"/>
      <w:pPr>
        <w:ind w:left="6490" w:hanging="361"/>
      </w:pPr>
      <w:rPr>
        <w:rFonts w:hint="default"/>
      </w:rPr>
    </w:lvl>
    <w:lvl w:ilvl="8" w:tplc="A90CD106">
      <w:numFmt w:val="bullet"/>
      <w:lvlText w:val="•"/>
      <w:lvlJc w:val="left"/>
      <w:pPr>
        <w:ind w:left="7429" w:hanging="361"/>
      </w:pPr>
      <w:rPr>
        <w:rFonts w:hint="default"/>
      </w:rPr>
    </w:lvl>
  </w:abstractNum>
  <w:abstractNum w:abstractNumId="24" w15:restartNumberingAfterBreak="0">
    <w:nsid w:val="7B1518E1"/>
    <w:multiLevelType w:val="hybridMultilevel"/>
    <w:tmpl w:val="D2385640"/>
    <w:lvl w:ilvl="0" w:tplc="E7C88ED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987039">
    <w:abstractNumId w:val="16"/>
  </w:num>
  <w:num w:numId="2" w16cid:durableId="1141313168">
    <w:abstractNumId w:val="10"/>
  </w:num>
  <w:num w:numId="3" w16cid:durableId="664863665">
    <w:abstractNumId w:val="1"/>
  </w:num>
  <w:num w:numId="4" w16cid:durableId="991107816">
    <w:abstractNumId w:val="24"/>
  </w:num>
  <w:num w:numId="5" w16cid:durableId="335958887">
    <w:abstractNumId w:val="19"/>
  </w:num>
  <w:num w:numId="6" w16cid:durableId="2061858390">
    <w:abstractNumId w:val="23"/>
  </w:num>
  <w:num w:numId="7" w16cid:durableId="1392384717">
    <w:abstractNumId w:val="11"/>
  </w:num>
  <w:num w:numId="8" w16cid:durableId="341513998">
    <w:abstractNumId w:val="12"/>
  </w:num>
  <w:num w:numId="9" w16cid:durableId="301203880">
    <w:abstractNumId w:val="14"/>
  </w:num>
  <w:num w:numId="10" w16cid:durableId="569005122">
    <w:abstractNumId w:val="15"/>
  </w:num>
  <w:num w:numId="11" w16cid:durableId="696543779">
    <w:abstractNumId w:val="17"/>
  </w:num>
  <w:num w:numId="12" w16cid:durableId="1632591457">
    <w:abstractNumId w:val="0"/>
  </w:num>
  <w:num w:numId="13" w16cid:durableId="203297191">
    <w:abstractNumId w:val="13"/>
  </w:num>
  <w:num w:numId="14" w16cid:durableId="1322464007">
    <w:abstractNumId w:val="2"/>
  </w:num>
  <w:num w:numId="15" w16cid:durableId="1620843200">
    <w:abstractNumId w:val="3"/>
  </w:num>
  <w:num w:numId="16" w16cid:durableId="1960145853">
    <w:abstractNumId w:val="5"/>
  </w:num>
  <w:num w:numId="17" w16cid:durableId="1941061349">
    <w:abstractNumId w:val="18"/>
  </w:num>
  <w:num w:numId="18" w16cid:durableId="499468789">
    <w:abstractNumId w:val="8"/>
  </w:num>
  <w:num w:numId="19" w16cid:durableId="1245528335">
    <w:abstractNumId w:val="7"/>
  </w:num>
  <w:num w:numId="20" w16cid:durableId="1613705768">
    <w:abstractNumId w:val="21"/>
  </w:num>
  <w:num w:numId="21" w16cid:durableId="409618713">
    <w:abstractNumId w:val="4"/>
  </w:num>
  <w:num w:numId="22" w16cid:durableId="2017534684">
    <w:abstractNumId w:val="6"/>
  </w:num>
  <w:num w:numId="23" w16cid:durableId="1193375920">
    <w:abstractNumId w:val="20"/>
  </w:num>
  <w:num w:numId="24" w16cid:durableId="2134445946">
    <w:abstractNumId w:val="22"/>
  </w:num>
  <w:num w:numId="25" w16cid:durableId="67693139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38E9"/>
    <w:rsid w:val="00006568"/>
    <w:rsid w:val="00010E41"/>
    <w:rsid w:val="00012100"/>
    <w:rsid w:val="000133E7"/>
    <w:rsid w:val="000155D6"/>
    <w:rsid w:val="00017E07"/>
    <w:rsid w:val="00022F13"/>
    <w:rsid w:val="00030C7C"/>
    <w:rsid w:val="00030E89"/>
    <w:rsid w:val="00030F62"/>
    <w:rsid w:val="00037F06"/>
    <w:rsid w:val="00040B96"/>
    <w:rsid w:val="00044BAF"/>
    <w:rsid w:val="000450DB"/>
    <w:rsid w:val="000462F4"/>
    <w:rsid w:val="00052883"/>
    <w:rsid w:val="000604A7"/>
    <w:rsid w:val="000621C6"/>
    <w:rsid w:val="000640DE"/>
    <w:rsid w:val="00071C85"/>
    <w:rsid w:val="0007266F"/>
    <w:rsid w:val="00083B02"/>
    <w:rsid w:val="00087974"/>
    <w:rsid w:val="000920D9"/>
    <w:rsid w:val="000936A2"/>
    <w:rsid w:val="00095B46"/>
    <w:rsid w:val="00096007"/>
    <w:rsid w:val="00096249"/>
    <w:rsid w:val="000A0F6A"/>
    <w:rsid w:val="000A2A98"/>
    <w:rsid w:val="000A73F4"/>
    <w:rsid w:val="000A7568"/>
    <w:rsid w:val="000B1CF8"/>
    <w:rsid w:val="000B45D1"/>
    <w:rsid w:val="000B598A"/>
    <w:rsid w:val="000B6283"/>
    <w:rsid w:val="000B6B09"/>
    <w:rsid w:val="000B7002"/>
    <w:rsid w:val="000C3D71"/>
    <w:rsid w:val="000D13F1"/>
    <w:rsid w:val="000D6FC8"/>
    <w:rsid w:val="000E1CFC"/>
    <w:rsid w:val="000E57D1"/>
    <w:rsid w:val="000F0743"/>
    <w:rsid w:val="000F48EF"/>
    <w:rsid w:val="000F5A48"/>
    <w:rsid w:val="000F7692"/>
    <w:rsid w:val="001003DB"/>
    <w:rsid w:val="00106CC9"/>
    <w:rsid w:val="00111E42"/>
    <w:rsid w:val="00112815"/>
    <w:rsid w:val="00114622"/>
    <w:rsid w:val="00115CFB"/>
    <w:rsid w:val="00120717"/>
    <w:rsid w:val="0012202B"/>
    <w:rsid w:val="001249E7"/>
    <w:rsid w:val="00127FC7"/>
    <w:rsid w:val="001309CB"/>
    <w:rsid w:val="001322D3"/>
    <w:rsid w:val="00132B93"/>
    <w:rsid w:val="00133007"/>
    <w:rsid w:val="0013332A"/>
    <w:rsid w:val="0013554B"/>
    <w:rsid w:val="0014079F"/>
    <w:rsid w:val="001419DD"/>
    <w:rsid w:val="0014228D"/>
    <w:rsid w:val="00142F13"/>
    <w:rsid w:val="00145477"/>
    <w:rsid w:val="00150B7E"/>
    <w:rsid w:val="00151177"/>
    <w:rsid w:val="001612F1"/>
    <w:rsid w:val="0016280B"/>
    <w:rsid w:val="0017016C"/>
    <w:rsid w:val="0017074B"/>
    <w:rsid w:val="00171E58"/>
    <w:rsid w:val="00173237"/>
    <w:rsid w:val="00177D35"/>
    <w:rsid w:val="001809B1"/>
    <w:rsid w:val="00182FCD"/>
    <w:rsid w:val="0018317E"/>
    <w:rsid w:val="00184F7D"/>
    <w:rsid w:val="001863A1"/>
    <w:rsid w:val="0019160C"/>
    <w:rsid w:val="0019625B"/>
    <w:rsid w:val="00196730"/>
    <w:rsid w:val="00197EE7"/>
    <w:rsid w:val="001A26DB"/>
    <w:rsid w:val="001A444D"/>
    <w:rsid w:val="001A53DE"/>
    <w:rsid w:val="001B0F68"/>
    <w:rsid w:val="001B5772"/>
    <w:rsid w:val="001C26AA"/>
    <w:rsid w:val="001C2B72"/>
    <w:rsid w:val="001C3E12"/>
    <w:rsid w:val="001C63C2"/>
    <w:rsid w:val="001C6FB5"/>
    <w:rsid w:val="001D57BB"/>
    <w:rsid w:val="001D5DA6"/>
    <w:rsid w:val="001D777D"/>
    <w:rsid w:val="001F211B"/>
    <w:rsid w:val="001F5A8F"/>
    <w:rsid w:val="00201532"/>
    <w:rsid w:val="0020246D"/>
    <w:rsid w:val="00210D13"/>
    <w:rsid w:val="002241C7"/>
    <w:rsid w:val="00225AAA"/>
    <w:rsid w:val="002308E9"/>
    <w:rsid w:val="00230D03"/>
    <w:rsid w:val="0023187B"/>
    <w:rsid w:val="00240CAD"/>
    <w:rsid w:val="002424BD"/>
    <w:rsid w:val="00242DB6"/>
    <w:rsid w:val="0024469B"/>
    <w:rsid w:val="00244875"/>
    <w:rsid w:val="00244F4E"/>
    <w:rsid w:val="0024615C"/>
    <w:rsid w:val="00255F47"/>
    <w:rsid w:val="00260185"/>
    <w:rsid w:val="00263639"/>
    <w:rsid w:val="00264D61"/>
    <w:rsid w:val="00265A55"/>
    <w:rsid w:val="00274CA0"/>
    <w:rsid w:val="002752F0"/>
    <w:rsid w:val="00275943"/>
    <w:rsid w:val="002809A5"/>
    <w:rsid w:val="00280E59"/>
    <w:rsid w:val="002821CA"/>
    <w:rsid w:val="00284D46"/>
    <w:rsid w:val="00286E89"/>
    <w:rsid w:val="00290703"/>
    <w:rsid w:val="002A07CC"/>
    <w:rsid w:val="002A71CD"/>
    <w:rsid w:val="002A7505"/>
    <w:rsid w:val="002A78F5"/>
    <w:rsid w:val="002B0A9E"/>
    <w:rsid w:val="002B0AA1"/>
    <w:rsid w:val="002B6514"/>
    <w:rsid w:val="002C12D3"/>
    <w:rsid w:val="002C33DF"/>
    <w:rsid w:val="002C7E82"/>
    <w:rsid w:val="002D1068"/>
    <w:rsid w:val="002D2BA0"/>
    <w:rsid w:val="002E4BDF"/>
    <w:rsid w:val="002E504F"/>
    <w:rsid w:val="002E57B2"/>
    <w:rsid w:val="002E5F79"/>
    <w:rsid w:val="00300C78"/>
    <w:rsid w:val="00302E47"/>
    <w:rsid w:val="00303806"/>
    <w:rsid w:val="00306AB2"/>
    <w:rsid w:val="00307768"/>
    <w:rsid w:val="0031040E"/>
    <w:rsid w:val="003139CA"/>
    <w:rsid w:val="0031508B"/>
    <w:rsid w:val="00317A9B"/>
    <w:rsid w:val="00320C82"/>
    <w:rsid w:val="00320DB4"/>
    <w:rsid w:val="00322DA6"/>
    <w:rsid w:val="00332416"/>
    <w:rsid w:val="00333E66"/>
    <w:rsid w:val="00335D61"/>
    <w:rsid w:val="003370BC"/>
    <w:rsid w:val="0033731E"/>
    <w:rsid w:val="0033732E"/>
    <w:rsid w:val="003379EE"/>
    <w:rsid w:val="003479E1"/>
    <w:rsid w:val="00350FC6"/>
    <w:rsid w:val="00354235"/>
    <w:rsid w:val="00355160"/>
    <w:rsid w:val="00355F80"/>
    <w:rsid w:val="003574DF"/>
    <w:rsid w:val="00357AA0"/>
    <w:rsid w:val="00371EE0"/>
    <w:rsid w:val="00372AAC"/>
    <w:rsid w:val="003746B8"/>
    <w:rsid w:val="0037596C"/>
    <w:rsid w:val="0037653F"/>
    <w:rsid w:val="003807A0"/>
    <w:rsid w:val="003811CB"/>
    <w:rsid w:val="00383624"/>
    <w:rsid w:val="00384121"/>
    <w:rsid w:val="00384252"/>
    <w:rsid w:val="00390082"/>
    <w:rsid w:val="00391A36"/>
    <w:rsid w:val="00392016"/>
    <w:rsid w:val="00392F3F"/>
    <w:rsid w:val="00393005"/>
    <w:rsid w:val="0039472E"/>
    <w:rsid w:val="003979F4"/>
    <w:rsid w:val="003A1C5F"/>
    <w:rsid w:val="003A5CB6"/>
    <w:rsid w:val="003A63EF"/>
    <w:rsid w:val="003A6D3A"/>
    <w:rsid w:val="003B1A56"/>
    <w:rsid w:val="003B1B9C"/>
    <w:rsid w:val="003B3854"/>
    <w:rsid w:val="003B43D3"/>
    <w:rsid w:val="003B5242"/>
    <w:rsid w:val="003C0381"/>
    <w:rsid w:val="003C3781"/>
    <w:rsid w:val="003C3D09"/>
    <w:rsid w:val="003C3EDB"/>
    <w:rsid w:val="003C67BA"/>
    <w:rsid w:val="003D1A8F"/>
    <w:rsid w:val="003D1D72"/>
    <w:rsid w:val="003D3979"/>
    <w:rsid w:val="003D5D5B"/>
    <w:rsid w:val="003D60E3"/>
    <w:rsid w:val="003E07E1"/>
    <w:rsid w:val="003E24FC"/>
    <w:rsid w:val="003E2E6B"/>
    <w:rsid w:val="003E3282"/>
    <w:rsid w:val="003E4EE8"/>
    <w:rsid w:val="003E54F5"/>
    <w:rsid w:val="003E7FBB"/>
    <w:rsid w:val="003F003A"/>
    <w:rsid w:val="003F163C"/>
    <w:rsid w:val="003F6CCC"/>
    <w:rsid w:val="00400D97"/>
    <w:rsid w:val="004055B3"/>
    <w:rsid w:val="004056E8"/>
    <w:rsid w:val="004107C7"/>
    <w:rsid w:val="00412DE6"/>
    <w:rsid w:val="0041340E"/>
    <w:rsid w:val="00414085"/>
    <w:rsid w:val="00414AA8"/>
    <w:rsid w:val="00415D34"/>
    <w:rsid w:val="00421691"/>
    <w:rsid w:val="0042416F"/>
    <w:rsid w:val="00432A64"/>
    <w:rsid w:val="00436C52"/>
    <w:rsid w:val="00437A66"/>
    <w:rsid w:val="00452D86"/>
    <w:rsid w:val="00454F10"/>
    <w:rsid w:val="00455327"/>
    <w:rsid w:val="004574E3"/>
    <w:rsid w:val="004628E0"/>
    <w:rsid w:val="00467548"/>
    <w:rsid w:val="00475855"/>
    <w:rsid w:val="00480381"/>
    <w:rsid w:val="00481F73"/>
    <w:rsid w:val="00484145"/>
    <w:rsid w:val="0048650A"/>
    <w:rsid w:val="00487266"/>
    <w:rsid w:val="00490AED"/>
    <w:rsid w:val="0049293F"/>
    <w:rsid w:val="00493090"/>
    <w:rsid w:val="00495BA1"/>
    <w:rsid w:val="004A16B0"/>
    <w:rsid w:val="004A47A7"/>
    <w:rsid w:val="004A5CB2"/>
    <w:rsid w:val="004B1245"/>
    <w:rsid w:val="004B1457"/>
    <w:rsid w:val="004B40EE"/>
    <w:rsid w:val="004B5C7F"/>
    <w:rsid w:val="004B7726"/>
    <w:rsid w:val="004C10DD"/>
    <w:rsid w:val="004C1504"/>
    <w:rsid w:val="004C15D9"/>
    <w:rsid w:val="004C1966"/>
    <w:rsid w:val="004C7E3D"/>
    <w:rsid w:val="004D142A"/>
    <w:rsid w:val="004D6FFF"/>
    <w:rsid w:val="004E59BF"/>
    <w:rsid w:val="004E74D9"/>
    <w:rsid w:val="004F1B3A"/>
    <w:rsid w:val="004F2DD6"/>
    <w:rsid w:val="004F57A9"/>
    <w:rsid w:val="00501BDF"/>
    <w:rsid w:val="00502C63"/>
    <w:rsid w:val="0050377A"/>
    <w:rsid w:val="005142CB"/>
    <w:rsid w:val="0052159A"/>
    <w:rsid w:val="0052548C"/>
    <w:rsid w:val="00525DFA"/>
    <w:rsid w:val="00525F8F"/>
    <w:rsid w:val="005273B5"/>
    <w:rsid w:val="005353E9"/>
    <w:rsid w:val="00541086"/>
    <w:rsid w:val="00541D41"/>
    <w:rsid w:val="005422AF"/>
    <w:rsid w:val="0054565F"/>
    <w:rsid w:val="0054607C"/>
    <w:rsid w:val="00546E9C"/>
    <w:rsid w:val="00552CE7"/>
    <w:rsid w:val="005535D2"/>
    <w:rsid w:val="00554998"/>
    <w:rsid w:val="00560C1E"/>
    <w:rsid w:val="00561967"/>
    <w:rsid w:val="00562027"/>
    <w:rsid w:val="00564BAF"/>
    <w:rsid w:val="00566233"/>
    <w:rsid w:val="00572260"/>
    <w:rsid w:val="005771B7"/>
    <w:rsid w:val="00583DC0"/>
    <w:rsid w:val="00585721"/>
    <w:rsid w:val="00586ABA"/>
    <w:rsid w:val="0059445F"/>
    <w:rsid w:val="005A06CE"/>
    <w:rsid w:val="005A16A8"/>
    <w:rsid w:val="005A402E"/>
    <w:rsid w:val="005B0108"/>
    <w:rsid w:val="005B2005"/>
    <w:rsid w:val="005B461B"/>
    <w:rsid w:val="005B6089"/>
    <w:rsid w:val="005B6D65"/>
    <w:rsid w:val="005B6DC2"/>
    <w:rsid w:val="005C3BA8"/>
    <w:rsid w:val="005D7429"/>
    <w:rsid w:val="005E0E90"/>
    <w:rsid w:val="005E2897"/>
    <w:rsid w:val="005E3793"/>
    <w:rsid w:val="005E602E"/>
    <w:rsid w:val="005F1A11"/>
    <w:rsid w:val="005F4841"/>
    <w:rsid w:val="005F7559"/>
    <w:rsid w:val="00602DC1"/>
    <w:rsid w:val="00603EB6"/>
    <w:rsid w:val="006060A8"/>
    <w:rsid w:val="00616B40"/>
    <w:rsid w:val="00617A69"/>
    <w:rsid w:val="00620313"/>
    <w:rsid w:val="00620BBA"/>
    <w:rsid w:val="00625FD1"/>
    <w:rsid w:val="006304BC"/>
    <w:rsid w:val="00630E9E"/>
    <w:rsid w:val="0063110E"/>
    <w:rsid w:val="00633030"/>
    <w:rsid w:val="0064418F"/>
    <w:rsid w:val="00645CEB"/>
    <w:rsid w:val="00645F52"/>
    <w:rsid w:val="00653070"/>
    <w:rsid w:val="00655FD7"/>
    <w:rsid w:val="006605BC"/>
    <w:rsid w:val="00660670"/>
    <w:rsid w:val="006670FE"/>
    <w:rsid w:val="00672B02"/>
    <w:rsid w:val="00672D90"/>
    <w:rsid w:val="006745EE"/>
    <w:rsid w:val="00674CD0"/>
    <w:rsid w:val="006767AB"/>
    <w:rsid w:val="00681723"/>
    <w:rsid w:val="00686CB2"/>
    <w:rsid w:val="006956C3"/>
    <w:rsid w:val="0069607D"/>
    <w:rsid w:val="006A49A6"/>
    <w:rsid w:val="006B0748"/>
    <w:rsid w:val="006C38FC"/>
    <w:rsid w:val="006C3C8C"/>
    <w:rsid w:val="006C5D49"/>
    <w:rsid w:val="006C6B56"/>
    <w:rsid w:val="006D4680"/>
    <w:rsid w:val="006E209F"/>
    <w:rsid w:val="006E29F6"/>
    <w:rsid w:val="006E3681"/>
    <w:rsid w:val="006F238B"/>
    <w:rsid w:val="006F2D90"/>
    <w:rsid w:val="006F2DDF"/>
    <w:rsid w:val="006F30A0"/>
    <w:rsid w:val="006F3411"/>
    <w:rsid w:val="006F3CE9"/>
    <w:rsid w:val="006F49FF"/>
    <w:rsid w:val="007008B9"/>
    <w:rsid w:val="00705EEE"/>
    <w:rsid w:val="007073D4"/>
    <w:rsid w:val="00707F45"/>
    <w:rsid w:val="00711F99"/>
    <w:rsid w:val="00712FEA"/>
    <w:rsid w:val="007142EF"/>
    <w:rsid w:val="00715B5D"/>
    <w:rsid w:val="00717777"/>
    <w:rsid w:val="007214A9"/>
    <w:rsid w:val="0072348F"/>
    <w:rsid w:val="00726AEF"/>
    <w:rsid w:val="00730286"/>
    <w:rsid w:val="007315A3"/>
    <w:rsid w:val="00734688"/>
    <w:rsid w:val="00746862"/>
    <w:rsid w:val="00746ED5"/>
    <w:rsid w:val="00751793"/>
    <w:rsid w:val="007541A3"/>
    <w:rsid w:val="00754533"/>
    <w:rsid w:val="00760AE8"/>
    <w:rsid w:val="007629CF"/>
    <w:rsid w:val="007640A1"/>
    <w:rsid w:val="007734DB"/>
    <w:rsid w:val="00776CA6"/>
    <w:rsid w:val="00783269"/>
    <w:rsid w:val="007832EB"/>
    <w:rsid w:val="007910E8"/>
    <w:rsid w:val="00797E00"/>
    <w:rsid w:val="007A05E2"/>
    <w:rsid w:val="007A486C"/>
    <w:rsid w:val="007A4C00"/>
    <w:rsid w:val="007A4C8F"/>
    <w:rsid w:val="007B4760"/>
    <w:rsid w:val="007B5C90"/>
    <w:rsid w:val="007B5E07"/>
    <w:rsid w:val="007D436F"/>
    <w:rsid w:val="007D47BB"/>
    <w:rsid w:val="007E0395"/>
    <w:rsid w:val="007E18EF"/>
    <w:rsid w:val="007E1A04"/>
    <w:rsid w:val="007E1C38"/>
    <w:rsid w:val="007E3DF1"/>
    <w:rsid w:val="007E5DE0"/>
    <w:rsid w:val="007F1D44"/>
    <w:rsid w:val="007F790C"/>
    <w:rsid w:val="007F79BC"/>
    <w:rsid w:val="00801DD1"/>
    <w:rsid w:val="00803A69"/>
    <w:rsid w:val="00806888"/>
    <w:rsid w:val="00806A14"/>
    <w:rsid w:val="00806D35"/>
    <w:rsid w:val="008073CC"/>
    <w:rsid w:val="00807430"/>
    <w:rsid w:val="008108D0"/>
    <w:rsid w:val="0081585D"/>
    <w:rsid w:val="00825A32"/>
    <w:rsid w:val="00827961"/>
    <w:rsid w:val="0083282B"/>
    <w:rsid w:val="008347EB"/>
    <w:rsid w:val="00837E32"/>
    <w:rsid w:val="008404DB"/>
    <w:rsid w:val="00842F24"/>
    <w:rsid w:val="00847AD8"/>
    <w:rsid w:val="00847EA6"/>
    <w:rsid w:val="008522E8"/>
    <w:rsid w:val="00852DEF"/>
    <w:rsid w:val="00860DBD"/>
    <w:rsid w:val="00862171"/>
    <w:rsid w:val="008654E1"/>
    <w:rsid w:val="00865981"/>
    <w:rsid w:val="008700B7"/>
    <w:rsid w:val="00871984"/>
    <w:rsid w:val="00875263"/>
    <w:rsid w:val="0087535C"/>
    <w:rsid w:val="00880EAC"/>
    <w:rsid w:val="00881906"/>
    <w:rsid w:val="008844D2"/>
    <w:rsid w:val="00890E16"/>
    <w:rsid w:val="00892EC4"/>
    <w:rsid w:val="00894446"/>
    <w:rsid w:val="00895ECC"/>
    <w:rsid w:val="008976CB"/>
    <w:rsid w:val="008A0CE3"/>
    <w:rsid w:val="008A0D03"/>
    <w:rsid w:val="008A1BF6"/>
    <w:rsid w:val="008B0A49"/>
    <w:rsid w:val="008B4169"/>
    <w:rsid w:val="008B4C5A"/>
    <w:rsid w:val="008B4EF5"/>
    <w:rsid w:val="008C0817"/>
    <w:rsid w:val="008C08A8"/>
    <w:rsid w:val="008C6184"/>
    <w:rsid w:val="008C72F8"/>
    <w:rsid w:val="008C74D3"/>
    <w:rsid w:val="008D28CE"/>
    <w:rsid w:val="008D5C95"/>
    <w:rsid w:val="008E2150"/>
    <w:rsid w:val="008E3FBD"/>
    <w:rsid w:val="008E4FC3"/>
    <w:rsid w:val="008E7AB2"/>
    <w:rsid w:val="00901704"/>
    <w:rsid w:val="009019AE"/>
    <w:rsid w:val="00905548"/>
    <w:rsid w:val="0090617A"/>
    <w:rsid w:val="00907C8C"/>
    <w:rsid w:val="0091245A"/>
    <w:rsid w:val="00912C0E"/>
    <w:rsid w:val="00913057"/>
    <w:rsid w:val="00913B7E"/>
    <w:rsid w:val="00916C6C"/>
    <w:rsid w:val="00921F79"/>
    <w:rsid w:val="00924C65"/>
    <w:rsid w:val="009301E8"/>
    <w:rsid w:val="00931203"/>
    <w:rsid w:val="00933547"/>
    <w:rsid w:val="00934E42"/>
    <w:rsid w:val="00935702"/>
    <w:rsid w:val="00936DE5"/>
    <w:rsid w:val="00937139"/>
    <w:rsid w:val="0093795E"/>
    <w:rsid w:val="00943EC9"/>
    <w:rsid w:val="00946A9E"/>
    <w:rsid w:val="009506F7"/>
    <w:rsid w:val="00950B2D"/>
    <w:rsid w:val="00950E4C"/>
    <w:rsid w:val="00951623"/>
    <w:rsid w:val="00953397"/>
    <w:rsid w:val="00961643"/>
    <w:rsid w:val="00967E09"/>
    <w:rsid w:val="00970DDF"/>
    <w:rsid w:val="00972DA3"/>
    <w:rsid w:val="00975153"/>
    <w:rsid w:val="00977271"/>
    <w:rsid w:val="00980B27"/>
    <w:rsid w:val="00983962"/>
    <w:rsid w:val="00986D19"/>
    <w:rsid w:val="0099375A"/>
    <w:rsid w:val="009961CC"/>
    <w:rsid w:val="009A5C08"/>
    <w:rsid w:val="009A79D8"/>
    <w:rsid w:val="009B05E8"/>
    <w:rsid w:val="009B6631"/>
    <w:rsid w:val="009C0486"/>
    <w:rsid w:val="009C0EEC"/>
    <w:rsid w:val="009C13C6"/>
    <w:rsid w:val="009C309B"/>
    <w:rsid w:val="009C66A0"/>
    <w:rsid w:val="009D6216"/>
    <w:rsid w:val="009D632B"/>
    <w:rsid w:val="009D6423"/>
    <w:rsid w:val="009E3ACD"/>
    <w:rsid w:val="009E3E20"/>
    <w:rsid w:val="009F036B"/>
    <w:rsid w:val="009F240E"/>
    <w:rsid w:val="009F25EC"/>
    <w:rsid w:val="009F5E6D"/>
    <w:rsid w:val="00A00AAF"/>
    <w:rsid w:val="00A026CB"/>
    <w:rsid w:val="00A03749"/>
    <w:rsid w:val="00A06128"/>
    <w:rsid w:val="00A06F3E"/>
    <w:rsid w:val="00A0737E"/>
    <w:rsid w:val="00A15C94"/>
    <w:rsid w:val="00A203E2"/>
    <w:rsid w:val="00A21320"/>
    <w:rsid w:val="00A315D2"/>
    <w:rsid w:val="00A318FA"/>
    <w:rsid w:val="00A3577A"/>
    <w:rsid w:val="00A372C7"/>
    <w:rsid w:val="00A37ADB"/>
    <w:rsid w:val="00A37F64"/>
    <w:rsid w:val="00A42F10"/>
    <w:rsid w:val="00A600C9"/>
    <w:rsid w:val="00A61E2B"/>
    <w:rsid w:val="00A6387D"/>
    <w:rsid w:val="00A66752"/>
    <w:rsid w:val="00A756FC"/>
    <w:rsid w:val="00A82239"/>
    <w:rsid w:val="00A84062"/>
    <w:rsid w:val="00A84A3C"/>
    <w:rsid w:val="00A85691"/>
    <w:rsid w:val="00A86A4D"/>
    <w:rsid w:val="00A878FA"/>
    <w:rsid w:val="00A93170"/>
    <w:rsid w:val="00A93D85"/>
    <w:rsid w:val="00A94ED5"/>
    <w:rsid w:val="00A975C7"/>
    <w:rsid w:val="00AA0A2B"/>
    <w:rsid w:val="00AA162B"/>
    <w:rsid w:val="00AA23BF"/>
    <w:rsid w:val="00AA6C10"/>
    <w:rsid w:val="00AA77E5"/>
    <w:rsid w:val="00AA7E1A"/>
    <w:rsid w:val="00AB1B54"/>
    <w:rsid w:val="00AB514D"/>
    <w:rsid w:val="00AC31C4"/>
    <w:rsid w:val="00AC5758"/>
    <w:rsid w:val="00AC6656"/>
    <w:rsid w:val="00AC6FA9"/>
    <w:rsid w:val="00AC7B32"/>
    <w:rsid w:val="00AD02B5"/>
    <w:rsid w:val="00AD12EA"/>
    <w:rsid w:val="00AD1C08"/>
    <w:rsid w:val="00AD23DD"/>
    <w:rsid w:val="00AD47D2"/>
    <w:rsid w:val="00AD6E2F"/>
    <w:rsid w:val="00AD7CD0"/>
    <w:rsid w:val="00AE0899"/>
    <w:rsid w:val="00AE10D5"/>
    <w:rsid w:val="00AE4193"/>
    <w:rsid w:val="00AE4438"/>
    <w:rsid w:val="00AE786C"/>
    <w:rsid w:val="00AF2B78"/>
    <w:rsid w:val="00AF43F3"/>
    <w:rsid w:val="00AF45F6"/>
    <w:rsid w:val="00AF6819"/>
    <w:rsid w:val="00B07DDD"/>
    <w:rsid w:val="00B101F8"/>
    <w:rsid w:val="00B1789F"/>
    <w:rsid w:val="00B235AD"/>
    <w:rsid w:val="00B241B6"/>
    <w:rsid w:val="00B27AA4"/>
    <w:rsid w:val="00B33582"/>
    <w:rsid w:val="00B33D01"/>
    <w:rsid w:val="00B35DDE"/>
    <w:rsid w:val="00B37E7F"/>
    <w:rsid w:val="00B47014"/>
    <w:rsid w:val="00B52DA4"/>
    <w:rsid w:val="00B56494"/>
    <w:rsid w:val="00B606DE"/>
    <w:rsid w:val="00B635D2"/>
    <w:rsid w:val="00B64C1E"/>
    <w:rsid w:val="00B72119"/>
    <w:rsid w:val="00B72A66"/>
    <w:rsid w:val="00B74469"/>
    <w:rsid w:val="00B8034C"/>
    <w:rsid w:val="00B8049E"/>
    <w:rsid w:val="00B8068A"/>
    <w:rsid w:val="00B85732"/>
    <w:rsid w:val="00B87A60"/>
    <w:rsid w:val="00B924C2"/>
    <w:rsid w:val="00B9319A"/>
    <w:rsid w:val="00B9423B"/>
    <w:rsid w:val="00B94BF5"/>
    <w:rsid w:val="00B969E0"/>
    <w:rsid w:val="00BA42F6"/>
    <w:rsid w:val="00BA75CC"/>
    <w:rsid w:val="00BA7FD4"/>
    <w:rsid w:val="00BB009F"/>
    <w:rsid w:val="00BB238E"/>
    <w:rsid w:val="00BB2F63"/>
    <w:rsid w:val="00BB4166"/>
    <w:rsid w:val="00BB43E0"/>
    <w:rsid w:val="00BC0D3B"/>
    <w:rsid w:val="00BC5652"/>
    <w:rsid w:val="00BC7C15"/>
    <w:rsid w:val="00BD0CDA"/>
    <w:rsid w:val="00BD10E0"/>
    <w:rsid w:val="00BD7C26"/>
    <w:rsid w:val="00BF009F"/>
    <w:rsid w:val="00BF083A"/>
    <w:rsid w:val="00BF260D"/>
    <w:rsid w:val="00BF636A"/>
    <w:rsid w:val="00BF7685"/>
    <w:rsid w:val="00C01021"/>
    <w:rsid w:val="00C0467B"/>
    <w:rsid w:val="00C066BF"/>
    <w:rsid w:val="00C105DF"/>
    <w:rsid w:val="00C16BF5"/>
    <w:rsid w:val="00C201E0"/>
    <w:rsid w:val="00C202B7"/>
    <w:rsid w:val="00C20DC3"/>
    <w:rsid w:val="00C22712"/>
    <w:rsid w:val="00C235AE"/>
    <w:rsid w:val="00C26F69"/>
    <w:rsid w:val="00C30BBA"/>
    <w:rsid w:val="00C30CB3"/>
    <w:rsid w:val="00C364DF"/>
    <w:rsid w:val="00C37B2B"/>
    <w:rsid w:val="00C37B90"/>
    <w:rsid w:val="00C418EF"/>
    <w:rsid w:val="00C4536D"/>
    <w:rsid w:val="00C60707"/>
    <w:rsid w:val="00C6254F"/>
    <w:rsid w:val="00C71E9E"/>
    <w:rsid w:val="00C80849"/>
    <w:rsid w:val="00C85B2E"/>
    <w:rsid w:val="00C9056E"/>
    <w:rsid w:val="00C908F2"/>
    <w:rsid w:val="00C9180B"/>
    <w:rsid w:val="00C91F9D"/>
    <w:rsid w:val="00C95A6F"/>
    <w:rsid w:val="00C96D01"/>
    <w:rsid w:val="00C96D61"/>
    <w:rsid w:val="00C97CFE"/>
    <w:rsid w:val="00CA2E9B"/>
    <w:rsid w:val="00CA5682"/>
    <w:rsid w:val="00CA596F"/>
    <w:rsid w:val="00CA712B"/>
    <w:rsid w:val="00CC00E4"/>
    <w:rsid w:val="00CC174D"/>
    <w:rsid w:val="00CC47CE"/>
    <w:rsid w:val="00CC54F9"/>
    <w:rsid w:val="00CD220E"/>
    <w:rsid w:val="00CD24AD"/>
    <w:rsid w:val="00CD58D4"/>
    <w:rsid w:val="00CD6A42"/>
    <w:rsid w:val="00CE5EAC"/>
    <w:rsid w:val="00CE66E8"/>
    <w:rsid w:val="00CE6C99"/>
    <w:rsid w:val="00CF421A"/>
    <w:rsid w:val="00CF4981"/>
    <w:rsid w:val="00CF4EAE"/>
    <w:rsid w:val="00D0068D"/>
    <w:rsid w:val="00D01327"/>
    <w:rsid w:val="00D0251A"/>
    <w:rsid w:val="00D026BB"/>
    <w:rsid w:val="00D04952"/>
    <w:rsid w:val="00D04A9C"/>
    <w:rsid w:val="00D06264"/>
    <w:rsid w:val="00D17375"/>
    <w:rsid w:val="00D242A0"/>
    <w:rsid w:val="00D25A50"/>
    <w:rsid w:val="00D27701"/>
    <w:rsid w:val="00D308AD"/>
    <w:rsid w:val="00D310FF"/>
    <w:rsid w:val="00D34EF9"/>
    <w:rsid w:val="00D352E3"/>
    <w:rsid w:val="00D35BF5"/>
    <w:rsid w:val="00D415DD"/>
    <w:rsid w:val="00D420BE"/>
    <w:rsid w:val="00D4441E"/>
    <w:rsid w:val="00D5157F"/>
    <w:rsid w:val="00D52D89"/>
    <w:rsid w:val="00D57280"/>
    <w:rsid w:val="00D574F8"/>
    <w:rsid w:val="00D644FF"/>
    <w:rsid w:val="00D6506F"/>
    <w:rsid w:val="00D6575C"/>
    <w:rsid w:val="00D70AFE"/>
    <w:rsid w:val="00D77330"/>
    <w:rsid w:val="00D8059A"/>
    <w:rsid w:val="00D80FC8"/>
    <w:rsid w:val="00D840E3"/>
    <w:rsid w:val="00D84AD3"/>
    <w:rsid w:val="00D87182"/>
    <w:rsid w:val="00DA0561"/>
    <w:rsid w:val="00DA1A14"/>
    <w:rsid w:val="00DA23AA"/>
    <w:rsid w:val="00DA4BAC"/>
    <w:rsid w:val="00DA7058"/>
    <w:rsid w:val="00DA7DFB"/>
    <w:rsid w:val="00DB02E5"/>
    <w:rsid w:val="00DB5060"/>
    <w:rsid w:val="00DC419D"/>
    <w:rsid w:val="00DC4349"/>
    <w:rsid w:val="00DD07DF"/>
    <w:rsid w:val="00DD52FE"/>
    <w:rsid w:val="00DD54D8"/>
    <w:rsid w:val="00DE0934"/>
    <w:rsid w:val="00DE0BC2"/>
    <w:rsid w:val="00DE62AC"/>
    <w:rsid w:val="00DE7271"/>
    <w:rsid w:val="00DE7F30"/>
    <w:rsid w:val="00DF1060"/>
    <w:rsid w:val="00DF10FC"/>
    <w:rsid w:val="00DF6702"/>
    <w:rsid w:val="00DF7A75"/>
    <w:rsid w:val="00E00F78"/>
    <w:rsid w:val="00E07C12"/>
    <w:rsid w:val="00E07DB4"/>
    <w:rsid w:val="00E128CE"/>
    <w:rsid w:val="00E14ABE"/>
    <w:rsid w:val="00E21135"/>
    <w:rsid w:val="00E25398"/>
    <w:rsid w:val="00E32DB3"/>
    <w:rsid w:val="00E33687"/>
    <w:rsid w:val="00E37122"/>
    <w:rsid w:val="00E402EF"/>
    <w:rsid w:val="00E50071"/>
    <w:rsid w:val="00E51426"/>
    <w:rsid w:val="00E53D06"/>
    <w:rsid w:val="00E55B1A"/>
    <w:rsid w:val="00E55B8F"/>
    <w:rsid w:val="00E64C0E"/>
    <w:rsid w:val="00E654F9"/>
    <w:rsid w:val="00E65935"/>
    <w:rsid w:val="00E67DAC"/>
    <w:rsid w:val="00E72C4B"/>
    <w:rsid w:val="00E774DD"/>
    <w:rsid w:val="00E83EE7"/>
    <w:rsid w:val="00E87770"/>
    <w:rsid w:val="00E91EC4"/>
    <w:rsid w:val="00E9526B"/>
    <w:rsid w:val="00E95996"/>
    <w:rsid w:val="00EA2719"/>
    <w:rsid w:val="00EA5770"/>
    <w:rsid w:val="00EB0EFF"/>
    <w:rsid w:val="00EB4C88"/>
    <w:rsid w:val="00EB52B1"/>
    <w:rsid w:val="00EB70AD"/>
    <w:rsid w:val="00EB7F3E"/>
    <w:rsid w:val="00EC18F3"/>
    <w:rsid w:val="00EC32EA"/>
    <w:rsid w:val="00EC671B"/>
    <w:rsid w:val="00ED3281"/>
    <w:rsid w:val="00ED45CD"/>
    <w:rsid w:val="00ED606B"/>
    <w:rsid w:val="00ED7A2E"/>
    <w:rsid w:val="00EE09D8"/>
    <w:rsid w:val="00EE4759"/>
    <w:rsid w:val="00EE501A"/>
    <w:rsid w:val="00EE547C"/>
    <w:rsid w:val="00EF40DF"/>
    <w:rsid w:val="00EF4AF7"/>
    <w:rsid w:val="00EF608E"/>
    <w:rsid w:val="00F00ABB"/>
    <w:rsid w:val="00F02BAE"/>
    <w:rsid w:val="00F041E0"/>
    <w:rsid w:val="00F04C6D"/>
    <w:rsid w:val="00F04E75"/>
    <w:rsid w:val="00F0728A"/>
    <w:rsid w:val="00F122BC"/>
    <w:rsid w:val="00F155C1"/>
    <w:rsid w:val="00F20D06"/>
    <w:rsid w:val="00F2180F"/>
    <w:rsid w:val="00F23E4A"/>
    <w:rsid w:val="00F24533"/>
    <w:rsid w:val="00F268A9"/>
    <w:rsid w:val="00F3012D"/>
    <w:rsid w:val="00F30DE1"/>
    <w:rsid w:val="00F317AE"/>
    <w:rsid w:val="00F375C5"/>
    <w:rsid w:val="00F446C4"/>
    <w:rsid w:val="00F470E0"/>
    <w:rsid w:val="00F47D4E"/>
    <w:rsid w:val="00F509DE"/>
    <w:rsid w:val="00F52570"/>
    <w:rsid w:val="00F60D37"/>
    <w:rsid w:val="00F60DC0"/>
    <w:rsid w:val="00F63EA6"/>
    <w:rsid w:val="00F64532"/>
    <w:rsid w:val="00F647E2"/>
    <w:rsid w:val="00F71392"/>
    <w:rsid w:val="00F74B2B"/>
    <w:rsid w:val="00F76866"/>
    <w:rsid w:val="00F773BB"/>
    <w:rsid w:val="00F81784"/>
    <w:rsid w:val="00F831E4"/>
    <w:rsid w:val="00F90A17"/>
    <w:rsid w:val="00F94145"/>
    <w:rsid w:val="00F9427B"/>
    <w:rsid w:val="00F94581"/>
    <w:rsid w:val="00FA3D03"/>
    <w:rsid w:val="00FA450E"/>
    <w:rsid w:val="00FA780E"/>
    <w:rsid w:val="00FB6C34"/>
    <w:rsid w:val="00FC5D24"/>
    <w:rsid w:val="00FC6C46"/>
    <w:rsid w:val="00FD0EF0"/>
    <w:rsid w:val="00FD11CB"/>
    <w:rsid w:val="00FD1E9D"/>
    <w:rsid w:val="00FD3D8E"/>
    <w:rsid w:val="00FE3168"/>
    <w:rsid w:val="00FE70C8"/>
    <w:rsid w:val="00FF12F2"/>
    <w:rsid w:val="00FF24BE"/>
    <w:rsid w:val="00FF3132"/>
    <w:rsid w:val="00FF332B"/>
    <w:rsid w:val="00FF33F6"/>
    <w:rsid w:val="00FF56B5"/>
    <w:rsid w:val="00FF56F8"/>
    <w:rsid w:val="00FF5C3C"/>
    <w:rsid w:val="00FF64F1"/>
    <w:rsid w:val="00FF6F85"/>
    <w:rsid w:val="00FF728F"/>
    <w:rsid w:val="0538FB79"/>
    <w:rsid w:val="083E47D9"/>
    <w:rsid w:val="0A8694C5"/>
    <w:rsid w:val="0F37D6B5"/>
    <w:rsid w:val="15B8078A"/>
    <w:rsid w:val="19335B4B"/>
    <w:rsid w:val="1D7ADA48"/>
    <w:rsid w:val="1EA9F8E5"/>
    <w:rsid w:val="251A00AE"/>
    <w:rsid w:val="2837B2CE"/>
    <w:rsid w:val="2E306265"/>
    <w:rsid w:val="2EA4E7BE"/>
    <w:rsid w:val="34C21E92"/>
    <w:rsid w:val="3688CD04"/>
    <w:rsid w:val="3CEF6368"/>
    <w:rsid w:val="3CF835D2"/>
    <w:rsid w:val="4034F81D"/>
    <w:rsid w:val="48B05AA4"/>
    <w:rsid w:val="4CA6D1AD"/>
    <w:rsid w:val="4EC1F082"/>
    <w:rsid w:val="51EED9CE"/>
    <w:rsid w:val="5250C15D"/>
    <w:rsid w:val="538AAA2F"/>
    <w:rsid w:val="53EC91BE"/>
    <w:rsid w:val="5588621F"/>
    <w:rsid w:val="5848E8F7"/>
    <w:rsid w:val="5C0915CA"/>
    <w:rsid w:val="5CCF14D7"/>
    <w:rsid w:val="5D93422E"/>
    <w:rsid w:val="5FDE23C1"/>
    <w:rsid w:val="63396061"/>
    <w:rsid w:val="6720FC17"/>
    <w:rsid w:val="6862DEF8"/>
    <w:rsid w:val="71C4B10C"/>
    <w:rsid w:val="71E88B3C"/>
    <w:rsid w:val="79A83A30"/>
    <w:rsid w:val="7B944899"/>
    <w:rsid w:val="7D28F75A"/>
    <w:rsid w:val="7EA24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DC7E5"/>
  <w15:docId w15:val="{9DC6D222-A9BD-4598-AD2B-7B502EB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6184"/>
    <w:rPr>
      <w:color w:val="0000FF"/>
      <w:u w:val="single"/>
    </w:rPr>
  </w:style>
  <w:style w:type="paragraph" w:styleId="BodyText">
    <w:name w:val="Body Text"/>
    <w:basedOn w:val="Normal"/>
    <w:link w:val="BodyTextChar"/>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link w:val="BodyText2Char"/>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1"/>
    <w:qFormat/>
    <w:rsid w:val="007D436F"/>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rsid w:val="00DA23AA"/>
    <w:rPr>
      <w:sz w:val="16"/>
      <w:szCs w:val="16"/>
    </w:rPr>
  </w:style>
  <w:style w:type="paragraph" w:styleId="CommentText">
    <w:name w:val="annotation text"/>
    <w:basedOn w:val="Normal"/>
    <w:link w:val="CommentTextChar"/>
    <w:rsid w:val="00DA23AA"/>
    <w:rPr>
      <w:sz w:val="20"/>
      <w:szCs w:val="20"/>
    </w:rPr>
  </w:style>
  <w:style w:type="character" w:customStyle="1" w:styleId="CommentTextChar">
    <w:name w:val="Comment Text Char"/>
    <w:basedOn w:val="DefaultParagraphFont"/>
    <w:link w:val="CommentText"/>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0E41"/>
    <w:rPr>
      <w:sz w:val="24"/>
      <w:szCs w:val="24"/>
    </w:rPr>
  </w:style>
  <w:style w:type="character" w:styleId="Emphasis">
    <w:name w:val="Emphasis"/>
    <w:basedOn w:val="DefaultParagraphFont"/>
    <w:uiPriority w:val="20"/>
    <w:qFormat/>
    <w:rsid w:val="00145477"/>
    <w:rPr>
      <w:i/>
      <w:iCs/>
    </w:rPr>
  </w:style>
  <w:style w:type="character" w:customStyle="1" w:styleId="BodyText2Char">
    <w:name w:val="Body Text 2 Char"/>
    <w:basedOn w:val="DefaultParagraphFont"/>
    <w:link w:val="BodyText2"/>
    <w:rsid w:val="00DE7271"/>
    <w:rPr>
      <w:sz w:val="24"/>
      <w:lang w:val="en-US" w:eastAsia="en-US"/>
    </w:rPr>
  </w:style>
  <w:style w:type="character" w:customStyle="1" w:styleId="BodyTextChar">
    <w:name w:val="Body Text Char"/>
    <w:basedOn w:val="DefaultParagraphFont"/>
    <w:link w:val="BodyText"/>
    <w:rsid w:val="00EE4759"/>
    <w:rPr>
      <w:sz w:val="24"/>
      <w:lang w:val="en-US" w:eastAsia="en-US"/>
    </w:rPr>
  </w:style>
  <w:style w:type="character" w:styleId="UnresolvedMention">
    <w:name w:val="Unresolved Mention"/>
    <w:basedOn w:val="DefaultParagraphFont"/>
    <w:uiPriority w:val="99"/>
    <w:semiHidden/>
    <w:unhideWhenUsed/>
    <w:rsid w:val="00210D13"/>
    <w:rPr>
      <w:color w:val="605E5C"/>
      <w:shd w:val="clear" w:color="auto" w:fill="E1DFDD"/>
    </w:rPr>
  </w:style>
  <w:style w:type="paragraph" w:styleId="Revision">
    <w:name w:val="Revision"/>
    <w:hidden/>
    <w:uiPriority w:val="99"/>
    <w:semiHidden/>
    <w:rsid w:val="00062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5495736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254635238">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527254147">
      <w:bodyDiv w:val="1"/>
      <w:marLeft w:val="0"/>
      <w:marRight w:val="0"/>
      <w:marTop w:val="0"/>
      <w:marBottom w:val="0"/>
      <w:divBdr>
        <w:top w:val="none" w:sz="0" w:space="0" w:color="auto"/>
        <w:left w:val="none" w:sz="0" w:space="0" w:color="auto"/>
        <w:bottom w:val="none" w:sz="0" w:space="0" w:color="auto"/>
        <w:right w:val="none" w:sz="0" w:space="0" w:color="auto"/>
      </w:divBdr>
    </w:div>
    <w:div w:id="549073911">
      <w:bodyDiv w:val="1"/>
      <w:marLeft w:val="0"/>
      <w:marRight w:val="0"/>
      <w:marTop w:val="0"/>
      <w:marBottom w:val="0"/>
      <w:divBdr>
        <w:top w:val="none" w:sz="0" w:space="0" w:color="auto"/>
        <w:left w:val="none" w:sz="0" w:space="0" w:color="auto"/>
        <w:bottom w:val="none" w:sz="0" w:space="0" w:color="auto"/>
        <w:right w:val="none" w:sz="0" w:space="0" w:color="auto"/>
      </w:divBdr>
    </w:div>
    <w:div w:id="606038561">
      <w:bodyDiv w:val="1"/>
      <w:marLeft w:val="0"/>
      <w:marRight w:val="0"/>
      <w:marTop w:val="0"/>
      <w:marBottom w:val="0"/>
      <w:divBdr>
        <w:top w:val="none" w:sz="0" w:space="0" w:color="auto"/>
        <w:left w:val="none" w:sz="0" w:space="0" w:color="auto"/>
        <w:bottom w:val="none" w:sz="0" w:space="0" w:color="auto"/>
        <w:right w:val="none" w:sz="0" w:space="0" w:color="auto"/>
      </w:divBdr>
    </w:div>
    <w:div w:id="762260252">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753625027">
      <w:bodyDiv w:val="1"/>
      <w:marLeft w:val="0"/>
      <w:marRight w:val="0"/>
      <w:marTop w:val="0"/>
      <w:marBottom w:val="0"/>
      <w:divBdr>
        <w:top w:val="none" w:sz="0" w:space="0" w:color="auto"/>
        <w:left w:val="none" w:sz="0" w:space="0" w:color="auto"/>
        <w:bottom w:val="none" w:sz="0" w:space="0" w:color="auto"/>
        <w:right w:val="none" w:sz="0" w:space="0" w:color="auto"/>
      </w:divBdr>
    </w:div>
    <w:div w:id="1794058218">
      <w:bodyDiv w:val="1"/>
      <w:marLeft w:val="0"/>
      <w:marRight w:val="0"/>
      <w:marTop w:val="0"/>
      <w:marBottom w:val="0"/>
      <w:divBdr>
        <w:top w:val="none" w:sz="0" w:space="0" w:color="auto"/>
        <w:left w:val="none" w:sz="0" w:space="0" w:color="auto"/>
        <w:bottom w:val="none" w:sz="0" w:space="0" w:color="auto"/>
        <w:right w:val="none" w:sz="0" w:space="0" w:color="auto"/>
      </w:divBdr>
    </w:div>
    <w:div w:id="1861118768">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1981038085">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1A00012/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C2011A00012/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Details/F2020L0151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F2014L01377" TargetMode="External"/><Relationship Id="rId5" Type="http://schemas.openxmlformats.org/officeDocument/2006/relationships/numbering" Target="numbering.xml"/><Relationship Id="rId15" Type="http://schemas.openxmlformats.org/officeDocument/2006/relationships/hyperlink" Target="https://internationaleducation.gov.au/Regulatory-Information/Education-Services-for-Overseas-Students-ESOS-Legislative-Framework/ELICOSnationalstandards/Pages/Default.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qa.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0d9502-55aa-45c5-8d7a-f2951454b61e" xsi:nil="true"/>
    <lcf76f155ced4ddcb4097134ff3c332f xmlns="e43109ae-7670-4a16-bde6-4f4b362999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DE41FF3A47A448EE1D0BE282C70F4" ma:contentTypeVersion="14" ma:contentTypeDescription="Create a new document." ma:contentTypeScope="" ma:versionID="cbcd825b0beaf527cf4abf369b9fd7ab">
  <xsd:schema xmlns:xsd="http://www.w3.org/2001/XMLSchema" xmlns:xs="http://www.w3.org/2001/XMLSchema" xmlns:p="http://schemas.microsoft.com/office/2006/metadata/properties" xmlns:ns2="e43109ae-7670-4a16-bde6-4f4b362999a6" xmlns:ns3="030d9502-55aa-45c5-8d7a-f2951454b61e" targetNamespace="http://schemas.microsoft.com/office/2006/metadata/properties" ma:root="true" ma:fieldsID="f31a9db76daeba65c932f1a23fedeb5d" ns2:_="" ns3:_="">
    <xsd:import namespace="e43109ae-7670-4a16-bde6-4f4b362999a6"/>
    <xsd:import namespace="030d9502-55aa-45c5-8d7a-f2951454b6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09ae-7670-4a16-bde6-4f4b36299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d9502-55aa-45c5-8d7a-f2951454b6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ff3193-b44a-4a1b-96b8-8267238a9c80}" ma:internalName="TaxCatchAll" ma:showField="CatchAllData" ma:web="030d9502-55aa-45c5-8d7a-f2951454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C2FA2-32B6-46CA-88EA-4CAF8A9802AC}">
  <ds:schemaRefs>
    <ds:schemaRef ds:uri="http://schemas.openxmlformats.org/officeDocument/2006/bibliography"/>
  </ds:schemaRefs>
</ds:datastoreItem>
</file>

<file path=customXml/itemProps2.xml><?xml version="1.0" encoding="utf-8"?>
<ds:datastoreItem xmlns:ds="http://schemas.openxmlformats.org/officeDocument/2006/customXml" ds:itemID="{2308264C-5B72-4939-AB74-442C41CA9AF9}">
  <ds:schemaRefs>
    <ds:schemaRef ds:uri="http://schemas.microsoft.com/office/2006/metadata/properties"/>
    <ds:schemaRef ds:uri="http://schemas.microsoft.com/office/infopath/2007/PartnerControls"/>
    <ds:schemaRef ds:uri="030d9502-55aa-45c5-8d7a-f2951454b61e"/>
    <ds:schemaRef ds:uri="e43109ae-7670-4a16-bde6-4f4b362999a6"/>
  </ds:schemaRefs>
</ds:datastoreItem>
</file>

<file path=customXml/itemProps3.xml><?xml version="1.0" encoding="utf-8"?>
<ds:datastoreItem xmlns:ds="http://schemas.openxmlformats.org/officeDocument/2006/customXml" ds:itemID="{EF71FC06-E6B2-4EFE-A904-AFE0CB64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109ae-7670-4a16-bde6-4f4b362999a6"/>
    <ds:schemaRef ds:uri="030d9502-55aa-45c5-8d7a-f2951454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C0CDE-F4CF-4581-9EC9-1A698FD12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2069</Words>
  <Characters>11796</Characters>
  <Application>Microsoft Office Word</Application>
  <DocSecurity>0</DocSecurity>
  <Lines>98</Lines>
  <Paragraphs>27</Paragraphs>
  <ScaleCrop>false</ScaleCrop>
  <Company>CIT</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creator>Fox, Walsa</dc:creator>
  <cp:lastModifiedBy>Holland, Charles (CIT)</cp:lastModifiedBy>
  <cp:revision>12</cp:revision>
  <cp:lastPrinted>2016-03-15T03:50:00Z</cp:lastPrinted>
  <dcterms:created xsi:type="dcterms:W3CDTF">2025-01-29T02:51:00Z</dcterms:created>
  <dcterms:modified xsi:type="dcterms:W3CDTF">2025-02-05T02:12:00Z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0x010100F67DE41FF3A47A448EE1D0BE282C70F4</vt:lpwstr>
  </property>
  <property fmtid="{D5CDD505-2E9C-101B-9397-08002B2CF9AE}" pid="3" name="MediaServiceImageTags">
    <vt:lpwstr/>
  </property>
  <property fmtid="{D5CDD505-2E9C-101B-9397-08002B2CF9AE}" pid="4" name="ClassificationContentMarkingHeaderShapeIds">
    <vt:lpwstr>39a0821c,633a00a4,4cb2afb9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59f5b17f-50d9-46f6-92bb-04de9dc6c470_Enabled">
    <vt:lpwstr>true</vt:lpwstr>
  </property>
  <property fmtid="{D5CDD505-2E9C-101B-9397-08002B2CF9AE}" pid="8" name="MSIP_Label_59f5b17f-50d9-46f6-92bb-04de9dc6c470_SetDate">
    <vt:lpwstr>2024-12-08T00:36:11Z</vt:lpwstr>
  </property>
  <property fmtid="{D5CDD505-2E9C-101B-9397-08002B2CF9AE}" pid="9" name="MSIP_Label_59f5b17f-50d9-46f6-92bb-04de9dc6c470_Method">
    <vt:lpwstr>Privileged</vt:lpwstr>
  </property>
  <property fmtid="{D5CDD505-2E9C-101B-9397-08002B2CF9AE}" pid="10" name="MSIP_Label_59f5b17f-50d9-46f6-92bb-04de9dc6c470_Name">
    <vt:lpwstr>OFFICIAL</vt:lpwstr>
  </property>
  <property fmtid="{D5CDD505-2E9C-101B-9397-08002B2CF9AE}" pid="11" name="MSIP_Label_59f5b17f-50d9-46f6-92bb-04de9dc6c470_SiteId">
    <vt:lpwstr>b65dd9f8-9246-43d2-b9e2-ea9a286b4539</vt:lpwstr>
  </property>
  <property fmtid="{D5CDD505-2E9C-101B-9397-08002B2CF9AE}" pid="12" name="MSIP_Label_59f5b17f-50d9-46f6-92bb-04de9dc6c470_ActionId">
    <vt:lpwstr>932d306f-4104-42c1-9817-4b7fa8a4f7c1</vt:lpwstr>
  </property>
  <property fmtid="{D5CDD505-2E9C-101B-9397-08002B2CF9AE}" pid="13" name="MSIP_Label_59f5b17f-50d9-46f6-92bb-04de9dc6c470_ContentBits">
    <vt:lpwstr>1</vt:lpwstr>
  </property>
</Properties>
</file>